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1DCE" w:rsidRPr="00741DCE" w:rsidRDefault="00741DCE" w:rsidP="00741DCE">
      <w:pPr>
        <w:pStyle w:val="Nadpis1"/>
        <w:tabs>
          <w:tab w:val="left" w:pos="8222"/>
        </w:tabs>
        <w:jc w:val="center"/>
        <w:rPr>
          <w:b/>
          <w:szCs w:val="24"/>
        </w:rPr>
      </w:pPr>
      <w:r w:rsidRPr="00741DCE">
        <w:rPr>
          <w:b/>
          <w:szCs w:val="24"/>
        </w:rPr>
        <w:t>Okruhy otázok zo ZP</w:t>
      </w:r>
    </w:p>
    <w:p w:rsidR="00741DCE" w:rsidRPr="00741DCE" w:rsidRDefault="00741DCE" w:rsidP="00741DCE">
      <w:pPr>
        <w:rPr>
          <w:rFonts w:ascii="Times New Roman" w:hAnsi="Times New Roman" w:cs="Times New Roman"/>
          <w:sz w:val="24"/>
          <w:szCs w:val="24"/>
        </w:rPr>
      </w:pPr>
    </w:p>
    <w:p w:rsidR="00741DCE" w:rsidRPr="00741DCE" w:rsidRDefault="00741DCE" w:rsidP="00741DCE">
      <w:pPr>
        <w:pStyle w:val="Nadpis1"/>
        <w:numPr>
          <w:ilvl w:val="0"/>
          <w:numId w:val="1"/>
        </w:numPr>
        <w:tabs>
          <w:tab w:val="left" w:pos="8222"/>
        </w:tabs>
        <w:ind w:left="0" w:firstLine="0"/>
        <w:jc w:val="both"/>
        <w:rPr>
          <w:szCs w:val="24"/>
        </w:rPr>
      </w:pPr>
      <w:r w:rsidRPr="00741DCE">
        <w:rPr>
          <w:szCs w:val="24"/>
        </w:rPr>
        <w:t>Vymedzenie pojmu právo – súhrn právnych noriem a pravidiel správania sa, ktoré sú stanovené štátom a sú všeobecne záväzné</w:t>
      </w:r>
    </w:p>
    <w:p w:rsidR="00741DCE" w:rsidRPr="00741DCE" w:rsidRDefault="00741DCE" w:rsidP="00741DCE">
      <w:pPr>
        <w:pStyle w:val="Nadpis1"/>
        <w:numPr>
          <w:ilvl w:val="0"/>
          <w:numId w:val="1"/>
        </w:numPr>
        <w:tabs>
          <w:tab w:val="left" w:pos="8222"/>
        </w:tabs>
        <w:ind w:left="0" w:firstLine="0"/>
        <w:jc w:val="both"/>
        <w:rPr>
          <w:szCs w:val="24"/>
        </w:rPr>
      </w:pPr>
      <w:r w:rsidRPr="00741DCE">
        <w:rPr>
          <w:szCs w:val="24"/>
        </w:rPr>
        <w:t>Pramene práva – materiálne a formálne: normatívne právne akty, normatívne zmluvy, súdne precedensy, právne obyčaje</w:t>
      </w:r>
    </w:p>
    <w:p w:rsidR="00741DCE" w:rsidRPr="00741DCE" w:rsidRDefault="00741DCE" w:rsidP="00741DCE">
      <w:pPr>
        <w:numPr>
          <w:ilvl w:val="0"/>
          <w:numId w:val="1"/>
        </w:numPr>
        <w:tabs>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Právna obyčaj - všeobecne záväzné pravidla správania sa, ktoré musí spĺňať náležitosti: opakované používanie v dlhšom časovom období, racionálna, presvedčenie spoločnosti o záväznosti tejto právnej obyčaje. U nás je právna obyčaj predmetom len ak sa jej zákon výslovne dovoláva.</w:t>
      </w:r>
    </w:p>
    <w:p w:rsidR="00741DCE" w:rsidRPr="00741DCE" w:rsidRDefault="00741DCE" w:rsidP="00741DCE">
      <w:pPr>
        <w:numPr>
          <w:ilvl w:val="0"/>
          <w:numId w:val="1"/>
        </w:numPr>
        <w:tabs>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Normatívne právne akty – primárne, sekundárne = rozhodujú o nich zákonodarné orgány = v medziach a na základe primárnych; orgány územnej samosprávy, ak sa týkajú = výkonná moc, otázok samosprávy; uverejnené v Zbierke zákonov</w:t>
      </w:r>
    </w:p>
    <w:p w:rsidR="00741DCE" w:rsidRPr="00741DCE" w:rsidRDefault="00741DCE" w:rsidP="00741DCE">
      <w:pPr>
        <w:numPr>
          <w:ilvl w:val="0"/>
          <w:numId w:val="1"/>
        </w:numPr>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Precedensy ako pramene práva - je historicky najstarším, pôvodným prameňom práva; predstavuje akýsi prechod od pôvodných zvykov a obyčají, od sociálnej samoregulácie spoločnosti k regulácii právnej; obyčaj je pravidlo správania, ktoré sa v dôsledku opakovaného používania za dlhšie obdobie vžilo vo vedomí a správaní ľudí a je všeobecne akceptované spoločnosťou a štátom; aby obyčaj mohla byť uznaná za právne záväznú musí spĺňať určité náležitosti a to: časový faktor, všeobecnosť a určitosť</w:t>
      </w:r>
    </w:p>
    <w:p w:rsidR="00741DCE" w:rsidRPr="00741DCE" w:rsidRDefault="00741DCE" w:rsidP="00741DCE">
      <w:pPr>
        <w:numPr>
          <w:ilvl w:val="0"/>
          <w:numId w:val="1"/>
        </w:numPr>
        <w:tabs>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Normatívna zmluva ako prameň práva - zmluva upravuje vzťahy medzi subjektmi; upravuje práva a povinnosti neurčitého počtu subjektov</w:t>
      </w:r>
    </w:p>
    <w:p w:rsidR="00741DCE" w:rsidRPr="00741DCE" w:rsidRDefault="00741DCE" w:rsidP="00741DCE">
      <w:pPr>
        <w:pStyle w:val="Nadpis1"/>
        <w:numPr>
          <w:ilvl w:val="0"/>
          <w:numId w:val="1"/>
        </w:numPr>
        <w:tabs>
          <w:tab w:val="left" w:pos="8222"/>
        </w:tabs>
        <w:ind w:left="0" w:firstLine="0"/>
        <w:jc w:val="both"/>
        <w:rPr>
          <w:szCs w:val="24"/>
        </w:rPr>
      </w:pPr>
      <w:r w:rsidRPr="00741DCE">
        <w:rPr>
          <w:szCs w:val="24"/>
        </w:rPr>
        <w:t>Právne normy – základným prvkom právneho systému; všeobecne záväzné pravidlo správania sa; vydal ju príslušný štátny orgán; má prepísanú formu; je efektívna a vymožiteľná štátnou mocou</w:t>
      </w:r>
    </w:p>
    <w:p w:rsidR="00741DCE" w:rsidRPr="00741DCE" w:rsidRDefault="00741DCE" w:rsidP="00741DCE">
      <w:pPr>
        <w:numPr>
          <w:ilvl w:val="0"/>
          <w:numId w:val="1"/>
        </w:numPr>
        <w:spacing w:after="0" w:line="240" w:lineRule="auto"/>
        <w:ind w:left="0" w:firstLine="0"/>
        <w:jc w:val="both"/>
        <w:rPr>
          <w:rFonts w:ascii="Times New Roman" w:hAnsi="Times New Roman" w:cs="Times New Roman"/>
          <w:b/>
          <w:sz w:val="24"/>
          <w:szCs w:val="24"/>
        </w:rPr>
      </w:pPr>
      <w:r w:rsidRPr="00741DCE">
        <w:rPr>
          <w:rFonts w:ascii="Times New Roman" w:hAnsi="Times New Roman" w:cs="Times New Roman"/>
          <w:sz w:val="24"/>
          <w:szCs w:val="24"/>
        </w:rPr>
        <w:t xml:space="preserve">Platnosť a účinnosť právnych noriem – </w:t>
      </w:r>
      <w:r w:rsidRPr="00741DCE">
        <w:rPr>
          <w:rFonts w:ascii="Times New Roman" w:hAnsi="Times New Roman" w:cs="Times New Roman"/>
          <w:bCs/>
          <w:sz w:val="24"/>
          <w:szCs w:val="24"/>
        </w:rPr>
        <w:t>časová</w:t>
      </w:r>
      <w:r w:rsidRPr="00741DCE">
        <w:rPr>
          <w:rFonts w:ascii="Times New Roman" w:hAnsi="Times New Roman" w:cs="Times New Roman"/>
          <w:b/>
          <w:bCs/>
          <w:sz w:val="24"/>
          <w:szCs w:val="24"/>
        </w:rPr>
        <w:t xml:space="preserve">, </w:t>
      </w:r>
      <w:r w:rsidRPr="00741DCE">
        <w:rPr>
          <w:rFonts w:ascii="Times New Roman" w:hAnsi="Times New Roman" w:cs="Times New Roman"/>
          <w:bCs/>
          <w:sz w:val="24"/>
          <w:szCs w:val="24"/>
        </w:rPr>
        <w:t xml:space="preserve">miestna a osobná pôsobnosť; </w:t>
      </w:r>
      <w:r w:rsidRPr="00741DCE">
        <w:rPr>
          <w:rFonts w:ascii="Times New Roman" w:hAnsi="Times New Roman" w:cs="Times New Roman"/>
          <w:sz w:val="24"/>
          <w:szCs w:val="24"/>
        </w:rPr>
        <w:t xml:space="preserve">právny predpis nadobúda </w:t>
      </w:r>
      <w:r w:rsidRPr="00741DCE">
        <w:rPr>
          <w:rFonts w:ascii="Times New Roman" w:hAnsi="Times New Roman" w:cs="Times New Roman"/>
          <w:b/>
          <w:bCs/>
          <w:sz w:val="24"/>
          <w:szCs w:val="24"/>
        </w:rPr>
        <w:t>platnosť</w:t>
      </w:r>
      <w:r w:rsidRPr="00741DCE">
        <w:rPr>
          <w:rFonts w:ascii="Times New Roman" w:hAnsi="Times New Roman" w:cs="Times New Roman"/>
          <w:b/>
          <w:bCs/>
          <w:color w:val="808080"/>
          <w:sz w:val="24"/>
          <w:szCs w:val="24"/>
        </w:rPr>
        <w:t xml:space="preserve"> </w:t>
      </w:r>
      <w:r w:rsidRPr="00741DCE">
        <w:rPr>
          <w:rFonts w:ascii="Times New Roman" w:hAnsi="Times New Roman" w:cs="Times New Roman"/>
          <w:sz w:val="24"/>
          <w:szCs w:val="24"/>
        </w:rPr>
        <w:t xml:space="preserve">dňom vyhlásenia, publikovania v Zbierke, platný právny predpis nemôžeme ešte v reálnom živote používať, musíme počkať na jeho </w:t>
      </w:r>
      <w:r w:rsidRPr="00741DCE">
        <w:rPr>
          <w:rFonts w:ascii="Times New Roman" w:hAnsi="Times New Roman" w:cs="Times New Roman"/>
          <w:b/>
          <w:bCs/>
          <w:sz w:val="24"/>
          <w:szCs w:val="24"/>
        </w:rPr>
        <w:t>účinnosť</w:t>
      </w:r>
      <w:r w:rsidRPr="00741DCE">
        <w:rPr>
          <w:rFonts w:ascii="Times New Roman" w:hAnsi="Times New Roman" w:cs="Times New Roman"/>
          <w:b/>
          <w:sz w:val="24"/>
          <w:szCs w:val="24"/>
        </w:rPr>
        <w:t xml:space="preserve"> </w:t>
      </w:r>
      <w:r w:rsidRPr="00741DCE">
        <w:rPr>
          <w:rFonts w:ascii="Times New Roman" w:hAnsi="Times New Roman" w:cs="Times New Roman"/>
          <w:sz w:val="24"/>
          <w:szCs w:val="24"/>
        </w:rPr>
        <w:t>- dátum účinnosti nájdeme priamo v právnom predpise alebo ju nadobudne 15 dní od publikovania v Zbierke</w:t>
      </w:r>
      <w:r w:rsidRPr="00741DCE">
        <w:rPr>
          <w:rFonts w:ascii="Times New Roman" w:hAnsi="Times New Roman" w:cs="Times New Roman"/>
          <w:b/>
          <w:sz w:val="24"/>
          <w:szCs w:val="24"/>
        </w:rPr>
        <w:t xml:space="preserve">; </w:t>
      </w:r>
      <w:r w:rsidRPr="00741DCE">
        <w:rPr>
          <w:rFonts w:ascii="Times New Roman" w:hAnsi="Times New Roman" w:cs="Times New Roman"/>
          <w:sz w:val="24"/>
          <w:szCs w:val="24"/>
        </w:rPr>
        <w:t>čas medzi platnosťou a účinnosťou je určený na oboznámenie sa s právnou normou</w:t>
      </w:r>
      <w:r w:rsidRPr="00741DCE">
        <w:rPr>
          <w:rFonts w:ascii="Times New Roman" w:hAnsi="Times New Roman" w:cs="Times New Roman"/>
          <w:b/>
          <w:sz w:val="24"/>
          <w:szCs w:val="24"/>
        </w:rPr>
        <w:t xml:space="preserve">; </w:t>
      </w:r>
      <w:r w:rsidRPr="00741DCE">
        <w:rPr>
          <w:rFonts w:ascii="Times New Roman" w:hAnsi="Times New Roman" w:cs="Times New Roman"/>
          <w:sz w:val="24"/>
          <w:szCs w:val="24"/>
        </w:rPr>
        <w:t>v deň účinnosti sa stáva právna norma všeobecne záväzná pre všetkých občanov</w:t>
      </w:r>
    </w:p>
    <w:p w:rsidR="00741DCE" w:rsidRPr="00741DCE" w:rsidRDefault="00741DCE" w:rsidP="00741DCE">
      <w:pPr>
        <w:numPr>
          <w:ilvl w:val="0"/>
          <w:numId w:val="1"/>
        </w:numPr>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Publikácia normatívnych právnych aktov – v Zbierke zákonov a dennej tlači</w:t>
      </w:r>
    </w:p>
    <w:p w:rsidR="00741DCE" w:rsidRPr="00741DCE" w:rsidRDefault="00741DCE" w:rsidP="00741DCE">
      <w:pPr>
        <w:numPr>
          <w:ilvl w:val="0"/>
          <w:numId w:val="1"/>
        </w:numPr>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 xml:space="preserve">Právny systém - je jeden z normatívnych systémov v spoločnosti; pozostáva jednak z </w:t>
      </w:r>
      <w:hyperlink r:id="rId6" w:tooltip="Právnych noriem" w:history="1">
        <w:r w:rsidRPr="00741DCE">
          <w:rPr>
            <w:rStyle w:val="Hypertextovprepojenie"/>
            <w:rFonts w:ascii="Times New Roman" w:hAnsi="Times New Roman" w:cs="Times New Roman"/>
            <w:sz w:val="24"/>
            <w:szCs w:val="24"/>
          </w:rPr>
          <w:t>právnych noriem</w:t>
        </w:r>
      </w:hyperlink>
      <w:r w:rsidRPr="00741DCE">
        <w:rPr>
          <w:rFonts w:ascii="Times New Roman" w:hAnsi="Times New Roman" w:cs="Times New Roman"/>
          <w:sz w:val="24"/>
          <w:szCs w:val="24"/>
        </w:rPr>
        <w:t xml:space="preserve"> a jednak z väzieb medzi nimi. Tieto väzby sú pre systém určujúce rovnako ako normy samotné, lebo definujú charakter noriem a tak aj štruktúru systému.</w:t>
      </w:r>
    </w:p>
    <w:p w:rsidR="00741DCE" w:rsidRPr="00741DCE" w:rsidRDefault="00741DCE" w:rsidP="00741DCE">
      <w:pPr>
        <w:numPr>
          <w:ilvl w:val="0"/>
          <w:numId w:val="1"/>
        </w:numPr>
        <w:tabs>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Verejné právo – vyjadruje záujem spoločnosti (napr. finančné právo, ktoré vyjadruje dane, správne právo, ústavné právo);</w:t>
      </w:r>
    </w:p>
    <w:p w:rsidR="00741DCE" w:rsidRPr="00741DCE" w:rsidRDefault="00741DCE" w:rsidP="00741DCE">
      <w:pPr>
        <w:tabs>
          <w:tab w:val="num" w:pos="851"/>
          <w:tab w:val="left" w:pos="8222"/>
        </w:tabs>
        <w:ind w:firstLine="567"/>
        <w:jc w:val="both"/>
        <w:rPr>
          <w:rFonts w:ascii="Times New Roman" w:hAnsi="Times New Roman" w:cs="Times New Roman"/>
          <w:sz w:val="24"/>
          <w:szCs w:val="24"/>
        </w:rPr>
      </w:pPr>
      <w:r w:rsidRPr="00741DCE">
        <w:rPr>
          <w:rFonts w:ascii="Times New Roman" w:hAnsi="Times New Roman" w:cs="Times New Roman"/>
          <w:sz w:val="24"/>
          <w:szCs w:val="24"/>
        </w:rPr>
        <w:t xml:space="preserve">Súkromné právo – stanovuje slobodné konanie občana (napr. časť rodinného práva – sobáš, pracovné právo, obchodné právo) </w:t>
      </w:r>
    </w:p>
    <w:p w:rsidR="00741DCE" w:rsidRPr="00741DCE" w:rsidRDefault="00741DCE" w:rsidP="00741DCE">
      <w:pPr>
        <w:pStyle w:val="Nadpis1"/>
        <w:numPr>
          <w:ilvl w:val="0"/>
          <w:numId w:val="1"/>
        </w:numPr>
        <w:tabs>
          <w:tab w:val="left" w:pos="8222"/>
        </w:tabs>
        <w:ind w:left="0" w:firstLine="0"/>
        <w:jc w:val="both"/>
        <w:rPr>
          <w:szCs w:val="24"/>
        </w:rPr>
      </w:pPr>
      <w:r w:rsidRPr="00741DCE">
        <w:rPr>
          <w:szCs w:val="24"/>
        </w:rPr>
        <w:t>Právne vzťahy – spoločenské vzťahy upravené právnymi normami, vznikajú na základe právnych noriem</w:t>
      </w:r>
    </w:p>
    <w:p w:rsidR="00741DCE" w:rsidRPr="00741DCE" w:rsidRDefault="00741DCE" w:rsidP="00741DCE">
      <w:pPr>
        <w:numPr>
          <w:ilvl w:val="0"/>
          <w:numId w:val="1"/>
        </w:numPr>
        <w:tabs>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Pojem občianskeho práva – súhrn právnych noriem upravujúcich občiansko-právne vzťahy, t. j. tie spoločenské vzťahy, ktoré vznikajú pri uspokojovaní materiálnych, kultúrnych, sociálnych a iných potrieb FO, PO a štátu</w:t>
      </w:r>
    </w:p>
    <w:p w:rsidR="00741DCE" w:rsidRPr="00741DCE" w:rsidRDefault="00741DCE" w:rsidP="00741DCE">
      <w:pPr>
        <w:numPr>
          <w:ilvl w:val="0"/>
          <w:numId w:val="1"/>
        </w:numPr>
        <w:tabs>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Ochrana osobnosti – predmetom občiansko-právnych vzťahov môžu byť nielen veci, tvorivé výsledky duševnej činnosti, ale aj určité imateriálne hodnoty, tzv. OSOBNOSTNÉ PRÁVA a k nim patrí život, zdravie, občianska česť, meno, dôstojnosť, súkromie, prejavy osobnej povahy. Ochrana osobnosti je upravená občianskym zákonníkom, Ústavou SR, zákonom o rodine, trestným zákonom a administratívnymi predpismi</w:t>
      </w:r>
    </w:p>
    <w:p w:rsidR="00741DCE" w:rsidRPr="00741DCE" w:rsidRDefault="00741DCE" w:rsidP="00741DCE">
      <w:pPr>
        <w:numPr>
          <w:ilvl w:val="0"/>
          <w:numId w:val="1"/>
        </w:numPr>
        <w:tabs>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 xml:space="preserve">Vlastnícke právo – trojjediné právo vlastníka: </w:t>
      </w:r>
      <w:r w:rsidRPr="00741DCE">
        <w:rPr>
          <w:rFonts w:ascii="Times New Roman" w:hAnsi="Times New Roman" w:cs="Times New Roman"/>
          <w:sz w:val="24"/>
          <w:szCs w:val="24"/>
          <w:u w:val="single"/>
        </w:rPr>
        <w:t>a) právo držby</w:t>
      </w:r>
      <w:r w:rsidRPr="00741DCE">
        <w:rPr>
          <w:rFonts w:ascii="Times New Roman" w:hAnsi="Times New Roman" w:cs="Times New Roman"/>
          <w:sz w:val="24"/>
          <w:szCs w:val="24"/>
        </w:rPr>
        <w:t xml:space="preserve"> – ovládanie veci, používanie veci tak, ako keby bola moja; zvláštnosťou je, že držba môže existovať i oddelene od vlastníctva, pretože držiteľom veci môže byť i ten, kto nie je vlastníkom; </w:t>
      </w:r>
      <w:r w:rsidRPr="00741DCE">
        <w:rPr>
          <w:rFonts w:ascii="Times New Roman" w:hAnsi="Times New Roman" w:cs="Times New Roman"/>
          <w:sz w:val="24"/>
          <w:szCs w:val="24"/>
          <w:u w:val="single"/>
        </w:rPr>
        <w:t>b) právo vec užívať</w:t>
      </w:r>
      <w:r w:rsidRPr="00741DCE">
        <w:rPr>
          <w:rFonts w:ascii="Times New Roman" w:hAnsi="Times New Roman" w:cs="Times New Roman"/>
          <w:sz w:val="24"/>
          <w:szCs w:val="24"/>
        </w:rPr>
        <w:t xml:space="preserve">, požívať jej plody a brať úžitky; </w:t>
      </w:r>
      <w:r w:rsidRPr="00741DCE">
        <w:rPr>
          <w:rFonts w:ascii="Times New Roman" w:hAnsi="Times New Roman" w:cs="Times New Roman"/>
          <w:sz w:val="24"/>
          <w:szCs w:val="24"/>
          <w:u w:val="single"/>
        </w:rPr>
        <w:t>c) právo vlastníka s vecou disponovať</w:t>
      </w:r>
      <w:r w:rsidRPr="00741DCE">
        <w:rPr>
          <w:rFonts w:ascii="Times New Roman" w:hAnsi="Times New Roman" w:cs="Times New Roman"/>
          <w:sz w:val="24"/>
          <w:szCs w:val="24"/>
        </w:rPr>
        <w:t xml:space="preserve"> – predať, darovať, prenajať, dať do zálohy, zničiť</w:t>
      </w:r>
    </w:p>
    <w:p w:rsidR="00741DCE" w:rsidRPr="00741DCE" w:rsidRDefault="00741DCE" w:rsidP="00741DCE">
      <w:pPr>
        <w:numPr>
          <w:ilvl w:val="0"/>
          <w:numId w:val="1"/>
        </w:numPr>
        <w:tabs>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 xml:space="preserve">Práva k cudzím veciam – </w:t>
      </w:r>
      <w:r w:rsidRPr="00741DCE">
        <w:rPr>
          <w:rFonts w:ascii="Times New Roman" w:hAnsi="Times New Roman" w:cs="Times New Roman"/>
          <w:b/>
          <w:sz w:val="24"/>
          <w:szCs w:val="24"/>
        </w:rPr>
        <w:t>a) vecné bremená</w:t>
      </w:r>
      <w:r w:rsidRPr="00741DCE">
        <w:rPr>
          <w:rFonts w:ascii="Times New Roman" w:hAnsi="Times New Roman" w:cs="Times New Roman"/>
          <w:sz w:val="24"/>
          <w:szCs w:val="24"/>
        </w:rPr>
        <w:t xml:space="preserve"> – právny vzťah na základe, ktorého vzniká vlastníkovi nehnuteľnosti v prospech iného subjektu povinnosť a to: niečo trpieť, niečoho sa zdržať, niečo konať; sú spojené s vlastníctvom určitej nehnuteľnosti alebo patria určitej osobe;</w:t>
      </w:r>
    </w:p>
    <w:p w:rsidR="00741DCE" w:rsidRPr="00741DCE" w:rsidRDefault="00741DCE" w:rsidP="00741DCE">
      <w:pPr>
        <w:tabs>
          <w:tab w:val="left" w:pos="8222"/>
        </w:tabs>
        <w:jc w:val="both"/>
        <w:rPr>
          <w:rFonts w:ascii="Times New Roman" w:hAnsi="Times New Roman" w:cs="Times New Roman"/>
          <w:sz w:val="24"/>
          <w:szCs w:val="24"/>
        </w:rPr>
      </w:pPr>
      <w:r w:rsidRPr="00741DCE">
        <w:rPr>
          <w:rFonts w:ascii="Times New Roman" w:hAnsi="Times New Roman" w:cs="Times New Roman"/>
          <w:b/>
          <w:sz w:val="24"/>
          <w:szCs w:val="24"/>
        </w:rPr>
        <w:lastRenderedPageBreak/>
        <w:t>b) záložné právo</w:t>
      </w:r>
      <w:r w:rsidRPr="00741DCE">
        <w:rPr>
          <w:rFonts w:ascii="Times New Roman" w:hAnsi="Times New Roman" w:cs="Times New Roman"/>
          <w:sz w:val="24"/>
          <w:szCs w:val="24"/>
        </w:rPr>
        <w:t xml:space="preserve"> – na zabezpečenie pohľadávky v tom prípade, ak pohľadávka nie je včas splnená (zmluva);</w:t>
      </w:r>
    </w:p>
    <w:p w:rsidR="00741DCE" w:rsidRPr="00741DCE" w:rsidRDefault="00741DCE" w:rsidP="00741DCE">
      <w:pPr>
        <w:tabs>
          <w:tab w:val="left" w:pos="8222"/>
        </w:tabs>
        <w:jc w:val="both"/>
        <w:rPr>
          <w:rFonts w:ascii="Times New Roman" w:hAnsi="Times New Roman" w:cs="Times New Roman"/>
          <w:sz w:val="24"/>
          <w:szCs w:val="24"/>
        </w:rPr>
      </w:pPr>
      <w:r w:rsidRPr="00741DCE">
        <w:rPr>
          <w:rFonts w:ascii="Times New Roman" w:hAnsi="Times New Roman" w:cs="Times New Roman"/>
          <w:b/>
          <w:sz w:val="24"/>
          <w:szCs w:val="24"/>
        </w:rPr>
        <w:t>c) zádržné právo</w:t>
      </w:r>
      <w:r w:rsidRPr="00741DCE">
        <w:rPr>
          <w:rFonts w:ascii="Times New Roman" w:hAnsi="Times New Roman" w:cs="Times New Roman"/>
          <w:sz w:val="24"/>
          <w:szCs w:val="24"/>
        </w:rPr>
        <w:t xml:space="preserve"> – ten, kto je povinný vydať hnuteľnú vec, môže si ju zadržať na zabezpečenie svojej splatnej peňažnej pohľadávky</w:t>
      </w:r>
    </w:p>
    <w:p w:rsidR="00741DCE" w:rsidRPr="00741DCE" w:rsidRDefault="00741DCE" w:rsidP="00741DCE">
      <w:pPr>
        <w:numPr>
          <w:ilvl w:val="0"/>
          <w:numId w:val="1"/>
        </w:numPr>
        <w:tabs>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Pojem a funkcia dedičského práva – upravuje právne vzťahy v súvislosti s prechodom majetkových práv a povinností zomretého na jeho právnych nástupcov. Z týchto práv prechádzajúcich na dedičov má najrozhodujúcejší význam prechod vlastníckeho práva, preto je ded. právo svojou povahou a funkciou veľmi úzko a obsahovo  späté s vlastníckymi a iným vecnými právami. Dedenie – prechod práv a povinností z FO z dôvodu jej smrti na iné subjekty a označuje sa ako dedičská postupnosť</w:t>
      </w:r>
    </w:p>
    <w:p w:rsidR="00741DCE" w:rsidRPr="00741DCE" w:rsidRDefault="00741DCE" w:rsidP="00741DCE">
      <w:pPr>
        <w:numPr>
          <w:ilvl w:val="0"/>
          <w:numId w:val="1"/>
        </w:numPr>
        <w:tabs>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Nadobúdanie dedičstva – smrťou poručiteľa podľa dedičského práva, za predpokladov: smrť FO, existencia dedičstva, spôsobilý dedič. Spôsoby dedenia zo zákona a zo závetu.</w:t>
      </w:r>
    </w:p>
    <w:p w:rsidR="00741DCE" w:rsidRPr="00741DCE" w:rsidRDefault="00741DCE" w:rsidP="00741DCE">
      <w:pPr>
        <w:numPr>
          <w:ilvl w:val="0"/>
          <w:numId w:val="1"/>
        </w:numPr>
        <w:tabs>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Odmietnutie – dedič môže dedičstvo odmietnuť, musí sa stať ústnym vyhlásením, pretože dedičstvo sa nadobúda smrťou poručiteľa bez toho, aby ho niekto nútil k tomu, aby sa stal dedičom. Dedičstvo však nemôže odmietnuť ten, kto sa začal správať ako dedič.</w:t>
      </w:r>
    </w:p>
    <w:p w:rsidR="00741DCE" w:rsidRPr="00741DCE" w:rsidRDefault="00741DCE" w:rsidP="00741DCE">
      <w:pPr>
        <w:numPr>
          <w:ilvl w:val="0"/>
          <w:numId w:val="1"/>
        </w:numPr>
        <w:tabs>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 xml:space="preserve">Dedičská nespôsobilosť -  predpokladom je, že dedič svojím konaním spôsobil stav, pre ktorý ho zákon vylučuje z dedenia: ten, kto </w:t>
      </w:r>
      <w:r w:rsidRPr="00741DCE">
        <w:rPr>
          <w:rFonts w:ascii="Times New Roman" w:hAnsi="Times New Roman" w:cs="Times New Roman"/>
          <w:i/>
          <w:sz w:val="24"/>
          <w:szCs w:val="24"/>
        </w:rPr>
        <w:t>sa dopustil úmyselného trestného činu</w:t>
      </w:r>
      <w:r w:rsidRPr="00741DCE">
        <w:rPr>
          <w:rFonts w:ascii="Times New Roman" w:hAnsi="Times New Roman" w:cs="Times New Roman"/>
          <w:sz w:val="24"/>
          <w:szCs w:val="24"/>
        </w:rPr>
        <w:t xml:space="preserve"> proti poručiteľovi, jeho manželovi, deťom, rodičom; ten, kto </w:t>
      </w:r>
      <w:r w:rsidRPr="00741DCE">
        <w:rPr>
          <w:rFonts w:ascii="Times New Roman" w:hAnsi="Times New Roman" w:cs="Times New Roman"/>
          <w:i/>
          <w:sz w:val="24"/>
          <w:szCs w:val="24"/>
        </w:rPr>
        <w:t>sa dopustil zavrhnutia hodného konania</w:t>
      </w:r>
      <w:r w:rsidRPr="00741DCE">
        <w:rPr>
          <w:rFonts w:ascii="Times New Roman" w:hAnsi="Times New Roman" w:cs="Times New Roman"/>
          <w:sz w:val="24"/>
          <w:szCs w:val="24"/>
        </w:rPr>
        <w:t xml:space="preserve"> proti prejavu poručiteľovej poslednej vôle, takýto dedič môže dediť len vtedy, ak mu poručiteľ tieto činy odpustil</w:t>
      </w:r>
    </w:p>
    <w:p w:rsidR="00741DCE" w:rsidRPr="00741DCE" w:rsidRDefault="00741DCE" w:rsidP="00741DCE">
      <w:pPr>
        <w:numPr>
          <w:ilvl w:val="0"/>
          <w:numId w:val="1"/>
        </w:numPr>
        <w:tabs>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Vydedenie – poručiteľ môže potomka vydediť ak: * potomok v rozpore s dobrými mravmi neposkytol poručiteľovi potrebnú pomoc v chorobe, starobe, inej závažnej situácii; * o poručiteľa trvalo neprejavuje opravdivý záujem, kt. by mal prejavovať; * bol potomok odsúdený pre úmyselný trestný čin na trest odňatia slobody v trvaní min. 1 rok; * trvalo vedie neusporiadaný život</w:t>
      </w:r>
    </w:p>
    <w:p w:rsidR="00741DCE" w:rsidRPr="00741DCE" w:rsidRDefault="00741DCE" w:rsidP="00741DCE">
      <w:pPr>
        <w:numPr>
          <w:ilvl w:val="0"/>
          <w:numId w:val="1"/>
        </w:numPr>
        <w:tabs>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Dôvody dedenia - dedenie – prechod práv a povinností z FO z dôvodu jej smrti na iné subjekty a označuje sa ako dedičská postupnosť</w:t>
      </w:r>
    </w:p>
    <w:p w:rsidR="00741DCE" w:rsidRPr="00741DCE" w:rsidRDefault="00741DCE" w:rsidP="00741DCE">
      <w:pPr>
        <w:numPr>
          <w:ilvl w:val="0"/>
          <w:numId w:val="1"/>
        </w:numPr>
        <w:tabs>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 xml:space="preserve">Dedenie zo zákona – </w:t>
      </w:r>
      <w:r w:rsidRPr="00741DCE">
        <w:rPr>
          <w:rFonts w:ascii="Times New Roman" w:hAnsi="Times New Roman" w:cs="Times New Roman"/>
          <w:sz w:val="24"/>
          <w:szCs w:val="24"/>
          <w:u w:val="single"/>
        </w:rPr>
        <w:t>I. manžel/</w:t>
      </w:r>
      <w:proofErr w:type="spellStart"/>
      <w:r w:rsidRPr="00741DCE">
        <w:rPr>
          <w:rFonts w:ascii="Times New Roman" w:hAnsi="Times New Roman" w:cs="Times New Roman"/>
          <w:sz w:val="24"/>
          <w:szCs w:val="24"/>
          <w:u w:val="single"/>
        </w:rPr>
        <w:t>ka</w:t>
      </w:r>
      <w:proofErr w:type="spellEnd"/>
      <w:r w:rsidRPr="00741DCE">
        <w:rPr>
          <w:rFonts w:ascii="Times New Roman" w:hAnsi="Times New Roman" w:cs="Times New Roman"/>
          <w:sz w:val="24"/>
          <w:szCs w:val="24"/>
          <w:u w:val="single"/>
        </w:rPr>
        <w:t>, poručiteľove deti, vnuci</w:t>
      </w:r>
      <w:r w:rsidRPr="00741DCE">
        <w:rPr>
          <w:rFonts w:ascii="Times New Roman" w:hAnsi="Times New Roman" w:cs="Times New Roman"/>
          <w:sz w:val="24"/>
          <w:szCs w:val="24"/>
        </w:rPr>
        <w:t xml:space="preserve"> – zákon nerozlišuje deti vlastné a osvojené a predpokladá, že manželstvo bolo v čase poručiteľovej smrti platné. </w:t>
      </w:r>
    </w:p>
    <w:p w:rsidR="00741DCE" w:rsidRPr="00741DCE" w:rsidRDefault="00741DCE" w:rsidP="00741DCE">
      <w:pPr>
        <w:tabs>
          <w:tab w:val="left" w:pos="8222"/>
        </w:tabs>
        <w:jc w:val="both"/>
        <w:rPr>
          <w:rFonts w:ascii="Times New Roman" w:hAnsi="Times New Roman" w:cs="Times New Roman"/>
          <w:sz w:val="24"/>
          <w:szCs w:val="24"/>
        </w:rPr>
      </w:pPr>
      <w:r w:rsidRPr="00741DCE">
        <w:rPr>
          <w:rFonts w:ascii="Times New Roman" w:hAnsi="Times New Roman" w:cs="Times New Roman"/>
          <w:sz w:val="24"/>
          <w:szCs w:val="24"/>
          <w:u w:val="single"/>
        </w:rPr>
        <w:t>II.</w:t>
      </w:r>
      <w:r w:rsidRPr="00741DCE">
        <w:rPr>
          <w:rFonts w:ascii="Times New Roman" w:hAnsi="Times New Roman" w:cs="Times New Roman"/>
          <w:sz w:val="24"/>
          <w:szCs w:val="24"/>
        </w:rPr>
        <w:t xml:space="preserve"> predpokladá sa, že </w:t>
      </w:r>
      <w:r w:rsidRPr="00741DCE">
        <w:rPr>
          <w:rFonts w:ascii="Times New Roman" w:hAnsi="Times New Roman" w:cs="Times New Roman"/>
          <w:sz w:val="24"/>
          <w:szCs w:val="24"/>
          <w:u w:val="single"/>
        </w:rPr>
        <w:t>manželstvo bolo bezdetné, dedí manžel/</w:t>
      </w:r>
      <w:proofErr w:type="spellStart"/>
      <w:r w:rsidRPr="00741DCE">
        <w:rPr>
          <w:rFonts w:ascii="Times New Roman" w:hAnsi="Times New Roman" w:cs="Times New Roman"/>
          <w:sz w:val="24"/>
          <w:szCs w:val="24"/>
          <w:u w:val="single"/>
        </w:rPr>
        <w:t>ka</w:t>
      </w:r>
      <w:proofErr w:type="spellEnd"/>
      <w:r w:rsidRPr="00741DCE">
        <w:rPr>
          <w:rFonts w:ascii="Times New Roman" w:hAnsi="Times New Roman" w:cs="Times New Roman"/>
          <w:sz w:val="24"/>
          <w:szCs w:val="24"/>
        </w:rPr>
        <w:t xml:space="preserve"> a </w:t>
      </w:r>
      <w:r w:rsidRPr="00741DCE">
        <w:rPr>
          <w:rFonts w:ascii="Times New Roman" w:hAnsi="Times New Roman" w:cs="Times New Roman"/>
          <w:sz w:val="24"/>
          <w:szCs w:val="24"/>
          <w:u w:val="single"/>
        </w:rPr>
        <w:t>ten, kto žil s poručiteľom najmenej 1 r.</w:t>
      </w:r>
      <w:r w:rsidRPr="00741DCE">
        <w:rPr>
          <w:rFonts w:ascii="Times New Roman" w:hAnsi="Times New Roman" w:cs="Times New Roman"/>
          <w:sz w:val="24"/>
          <w:szCs w:val="24"/>
        </w:rPr>
        <w:t xml:space="preserve"> v spoločnej domácnosti, ak nie oni tak jeho rodičia. </w:t>
      </w:r>
    </w:p>
    <w:p w:rsidR="00741DCE" w:rsidRPr="00741DCE" w:rsidRDefault="00741DCE" w:rsidP="00741DCE">
      <w:pPr>
        <w:tabs>
          <w:tab w:val="left" w:pos="8222"/>
        </w:tabs>
        <w:jc w:val="both"/>
        <w:rPr>
          <w:rFonts w:ascii="Times New Roman" w:hAnsi="Times New Roman" w:cs="Times New Roman"/>
          <w:sz w:val="24"/>
          <w:szCs w:val="24"/>
          <w:u w:val="single"/>
        </w:rPr>
      </w:pPr>
      <w:r w:rsidRPr="00741DCE">
        <w:rPr>
          <w:rFonts w:ascii="Times New Roman" w:hAnsi="Times New Roman" w:cs="Times New Roman"/>
          <w:sz w:val="24"/>
          <w:szCs w:val="24"/>
          <w:u w:val="single"/>
        </w:rPr>
        <w:t>III</w:t>
      </w:r>
      <w:r w:rsidRPr="00741DCE">
        <w:rPr>
          <w:rFonts w:ascii="Times New Roman" w:hAnsi="Times New Roman" w:cs="Times New Roman"/>
          <w:sz w:val="24"/>
          <w:szCs w:val="24"/>
        </w:rPr>
        <w:t xml:space="preserve">. ak niet dedičov v 2. skupine, </w:t>
      </w:r>
      <w:r w:rsidRPr="00741DCE">
        <w:rPr>
          <w:rFonts w:ascii="Times New Roman" w:hAnsi="Times New Roman" w:cs="Times New Roman"/>
          <w:sz w:val="24"/>
          <w:szCs w:val="24"/>
          <w:u w:val="single"/>
        </w:rPr>
        <w:t>dedia poručiteľovi súrodenci, prípadne ich potomkovia</w:t>
      </w:r>
    </w:p>
    <w:p w:rsidR="00741DCE" w:rsidRPr="00741DCE" w:rsidRDefault="00741DCE" w:rsidP="00741DCE">
      <w:pPr>
        <w:tabs>
          <w:tab w:val="left" w:pos="8222"/>
        </w:tabs>
        <w:jc w:val="both"/>
        <w:rPr>
          <w:rFonts w:ascii="Times New Roman" w:hAnsi="Times New Roman" w:cs="Times New Roman"/>
          <w:sz w:val="24"/>
          <w:szCs w:val="24"/>
        </w:rPr>
      </w:pPr>
      <w:r w:rsidRPr="00741DCE">
        <w:rPr>
          <w:rFonts w:ascii="Times New Roman" w:hAnsi="Times New Roman" w:cs="Times New Roman"/>
          <w:sz w:val="24"/>
          <w:szCs w:val="24"/>
          <w:u w:val="single"/>
        </w:rPr>
        <w:t>IV.</w:t>
      </w:r>
      <w:r w:rsidRPr="00741DCE">
        <w:rPr>
          <w:rFonts w:ascii="Times New Roman" w:hAnsi="Times New Roman" w:cs="Times New Roman"/>
          <w:sz w:val="24"/>
          <w:szCs w:val="24"/>
        </w:rPr>
        <w:t xml:space="preserve"> ak niet dedičov v 3. skupine, tak </w:t>
      </w:r>
      <w:r w:rsidRPr="00741DCE">
        <w:rPr>
          <w:rFonts w:ascii="Times New Roman" w:hAnsi="Times New Roman" w:cs="Times New Roman"/>
          <w:sz w:val="24"/>
          <w:szCs w:val="24"/>
          <w:u w:val="single"/>
        </w:rPr>
        <w:t>dedia prarodičia alebo ich deti</w:t>
      </w:r>
      <w:r w:rsidRPr="00741DCE">
        <w:rPr>
          <w:rFonts w:ascii="Times New Roman" w:hAnsi="Times New Roman" w:cs="Times New Roman"/>
          <w:sz w:val="24"/>
          <w:szCs w:val="24"/>
        </w:rPr>
        <w:t xml:space="preserve"> rovným dielom</w:t>
      </w:r>
    </w:p>
    <w:p w:rsidR="00741DCE" w:rsidRPr="00741DCE" w:rsidRDefault="00741DCE" w:rsidP="00741DCE">
      <w:pPr>
        <w:numPr>
          <w:ilvl w:val="0"/>
          <w:numId w:val="1"/>
        </w:numPr>
        <w:tabs>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Dedenie zo závetu – jednostranný právny akt, ktorým poručiteľ mení dedičské podiely; napísaný vlastnou rukou, za účasti svedkov, formou notárskej zápisnice a musí mať uvedený dátum, miesto a podpis, inak je neplatný! Môže sa zrušiť: napísaním nového, odvolaním pôvodného a zničením</w:t>
      </w:r>
    </w:p>
    <w:p w:rsidR="00741DCE" w:rsidRPr="00741DCE" w:rsidRDefault="00741DCE" w:rsidP="00741DCE">
      <w:pPr>
        <w:numPr>
          <w:ilvl w:val="0"/>
          <w:numId w:val="1"/>
        </w:numPr>
        <w:tabs>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Pojem a funkcie pracovného práva – najdôležitejší právny a sociálny význam, súhrn právnych noriem upravujúcich pracovno-právne vzťahy – vznikajú pri účasti FO na vykonávanie spoločenskej práce za odmenu pre iný subjekt. Funkcie: regulačná, kontrolná, ochranná a výkonná</w:t>
      </w:r>
    </w:p>
    <w:p w:rsidR="00741DCE" w:rsidRPr="00741DCE" w:rsidRDefault="00741DCE" w:rsidP="00741DCE">
      <w:pPr>
        <w:numPr>
          <w:ilvl w:val="0"/>
          <w:numId w:val="1"/>
        </w:numPr>
        <w:tabs>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Účastníci pracovnoprávnych vzťahov – zamestnávatelia, zamestnanci a zástupcovia zamestnancov – odborové orgány</w:t>
      </w:r>
    </w:p>
    <w:p w:rsidR="00741DCE" w:rsidRPr="00741DCE" w:rsidRDefault="00741DCE" w:rsidP="00741DCE">
      <w:pPr>
        <w:numPr>
          <w:ilvl w:val="0"/>
          <w:numId w:val="1"/>
        </w:numPr>
        <w:tabs>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Pracovný pomer – vzniká dohodnutým dňom nástupu do práce; spoločenský vzťah, v kt. sa zamestnanec zúčastňuje na plnení úloh zamestnávateľa v kolektíve zamestnancov za odmenu – mzdu. Zakladá sa písomnou pracovnou zmluvou – dohoda o prac. pomere, môže byť uzatvorený na dobu určitú, neurčitú a na kratší prac. čas</w:t>
      </w:r>
    </w:p>
    <w:p w:rsidR="00741DCE" w:rsidRPr="00741DCE" w:rsidRDefault="00741DCE" w:rsidP="00741DCE">
      <w:pPr>
        <w:numPr>
          <w:ilvl w:val="0"/>
          <w:numId w:val="1"/>
        </w:numPr>
        <w:tabs>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Pracovná zmluva – obojstranný právny akt, ktorý podpisujú zamestnanec a zamestnávateľ po tom, ako boli oboznámení o osobných údajoch a podmienkach zmluvy. Musí obsahovať: názov a sídlo zamestnávateľa, meno a bydlisko zamestnanca, druh práce, miesto výkonu, deň nástupu do práce, doba trvania prac. pomeru, skúšobná doba, mzdové podmienky, ostatné podmienky, podpisy, pečiatka</w:t>
      </w:r>
    </w:p>
    <w:p w:rsidR="00741DCE" w:rsidRPr="00741DCE" w:rsidRDefault="00741DCE" w:rsidP="00741DCE">
      <w:pPr>
        <w:numPr>
          <w:ilvl w:val="0"/>
          <w:numId w:val="1"/>
        </w:numPr>
        <w:tabs>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Skúšobná lehota – musí byť dohodnutá písomne, max. 3 mesiace, nesmie sa predlžovať iba o čas prekážok na strane zamestnanca (materská dovolenka – riziková tehotnosť, výkon trestu)</w:t>
      </w:r>
    </w:p>
    <w:p w:rsidR="00741DCE" w:rsidRPr="00741DCE" w:rsidRDefault="00741DCE" w:rsidP="00741DCE">
      <w:pPr>
        <w:numPr>
          <w:ilvl w:val="0"/>
          <w:numId w:val="1"/>
        </w:numPr>
        <w:tabs>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Vznik pracovného pomeru – uzatvorením prac. zmluvy, voľbou, vymenovaní do funkcie</w:t>
      </w:r>
    </w:p>
    <w:p w:rsidR="00741DCE" w:rsidRPr="00741DCE" w:rsidRDefault="00741DCE" w:rsidP="00741DCE">
      <w:pPr>
        <w:numPr>
          <w:ilvl w:val="0"/>
          <w:numId w:val="1"/>
        </w:numPr>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lastRenderedPageBreak/>
        <w:t xml:space="preserve">Povinnosti vyplývajúce z pracovného pomeru – </w:t>
      </w:r>
      <w:r w:rsidRPr="00741DCE">
        <w:rPr>
          <w:rFonts w:ascii="Times New Roman" w:hAnsi="Times New Roman" w:cs="Times New Roman"/>
          <w:b/>
          <w:sz w:val="24"/>
          <w:szCs w:val="24"/>
        </w:rPr>
        <w:t>zamestnávateľ –</w:t>
      </w:r>
      <w:r w:rsidRPr="00741DCE">
        <w:rPr>
          <w:rFonts w:ascii="Times New Roman" w:hAnsi="Times New Roman" w:cs="Times New Roman"/>
          <w:sz w:val="24"/>
          <w:szCs w:val="24"/>
        </w:rPr>
        <w:t xml:space="preserve"> prideľuje zamestnancovi prácu podľa prac. zmluvy, vypláca mzdu za vykonanú prácu, stará sa o bezpečnosť práce, poskytuje dovolenku, odpočinok, prestávku, dodržiava zákaz diskriminácie, č. z. nežiada informácie o majetkových pomeroch, polit. príslušnosti, náboženstve, tehotnosti; má právo vymáhať škodu od zamestnanca; </w:t>
      </w:r>
      <w:r w:rsidRPr="00741DCE">
        <w:rPr>
          <w:rFonts w:ascii="Times New Roman" w:hAnsi="Times New Roman" w:cs="Times New Roman"/>
          <w:b/>
          <w:sz w:val="24"/>
          <w:szCs w:val="24"/>
        </w:rPr>
        <w:t>zamestnanec –</w:t>
      </w:r>
      <w:r w:rsidRPr="00741DCE">
        <w:rPr>
          <w:rFonts w:ascii="Times New Roman" w:hAnsi="Times New Roman" w:cs="Times New Roman"/>
          <w:sz w:val="24"/>
          <w:szCs w:val="24"/>
        </w:rPr>
        <w:t xml:space="preserve"> má povinnosť chodiť do práce načas, vykonávať ju v zmysle prac. zmluvy, dodržiavať disciplínu a predpisy, povinné nahlasuje dĺžku prac. času u iného zamestnávateľa</w:t>
      </w:r>
    </w:p>
    <w:p w:rsidR="00741DCE" w:rsidRPr="00741DCE" w:rsidRDefault="00741DCE" w:rsidP="00741DCE">
      <w:pPr>
        <w:numPr>
          <w:ilvl w:val="0"/>
          <w:numId w:val="1"/>
        </w:numPr>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 xml:space="preserve">Dohoda o zmene pracovných podmienok - počas existencie pracovného pomeru však môžu nastať v praxi skutočnosti vynucujúce si zmenu pracovného pomeru, pričom uvedená zmena sa môže týkať jednak: - zmeny subjektu pracovného pomeru, t. j. dôjde k zmene v osobe zamestnávateľa, napr. v prípade zlúčenia, splynutia dvoch obchodných spoločností; - zmeny prvku pracovného pomeru – napr. zmena druhu práce, miesta výkonu práce, mzdových podmienok. </w:t>
      </w:r>
    </w:p>
    <w:p w:rsidR="00741DCE" w:rsidRPr="00741DCE" w:rsidRDefault="00741DCE" w:rsidP="00741DCE">
      <w:pPr>
        <w:numPr>
          <w:ilvl w:val="0"/>
          <w:numId w:val="1"/>
        </w:numPr>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Preradenie na inú prácu - preradiť zamestnanca na inú prácu, než je dohodnutá v pracovnej zmluve, možno len výnimočne; veľký význam má vymedzenie druhu práce v pracovnej zmluve; ak je druh práce presne špecifikovaný, môže zamestnávateľ zmeniť tento druh práce len so súhlasom zamestnanca. Ak zamestnanec nesúhlasí, nemôže mu zamestnávateľ meniť, pridávať alebo vziať ani len časť pracovnej náplne. Ak je však druh práce vymedzený len všeobecne, môže v rámci tohto druhu práce meniť zamestnancovi náplň práce bez toho, aby sa to posudzovalo ako preradenie na inú prácu.</w:t>
      </w:r>
    </w:p>
    <w:p w:rsidR="00741DCE" w:rsidRPr="00741DCE" w:rsidRDefault="00741DCE" w:rsidP="00741DCE">
      <w:pPr>
        <w:numPr>
          <w:ilvl w:val="0"/>
          <w:numId w:val="1"/>
        </w:numPr>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 xml:space="preserve">Spôsoby skončenia pracovného pomeru – DOHODOU – prac. pomer končí dohodnutým dňom, dohoda má písomnú formu, nemusí sa udávať dôvod, ale na žiadosť zamestnanca sa udáva; VÝPOVEĎOU – má písomnú formu, môže ju dať zamestnanec aj zamestnávateľ, musí byť doručená a prevzatá, od 1. dňa </w:t>
      </w:r>
      <w:proofErr w:type="spellStart"/>
      <w:r w:rsidRPr="00741DCE">
        <w:rPr>
          <w:rFonts w:ascii="Times New Roman" w:hAnsi="Times New Roman" w:cs="Times New Roman"/>
          <w:sz w:val="24"/>
          <w:szCs w:val="24"/>
        </w:rPr>
        <w:t>nasled</w:t>
      </w:r>
      <w:proofErr w:type="spellEnd"/>
      <w:r w:rsidRPr="00741DCE">
        <w:rPr>
          <w:rFonts w:ascii="Times New Roman" w:hAnsi="Times New Roman" w:cs="Times New Roman"/>
          <w:sz w:val="24"/>
          <w:szCs w:val="24"/>
        </w:rPr>
        <w:t xml:space="preserve">. mesiaca začína plynúť </w:t>
      </w:r>
      <w:proofErr w:type="spellStart"/>
      <w:r w:rsidRPr="00741DCE">
        <w:rPr>
          <w:rFonts w:ascii="Times New Roman" w:hAnsi="Times New Roman" w:cs="Times New Roman"/>
          <w:sz w:val="24"/>
          <w:szCs w:val="24"/>
        </w:rPr>
        <w:t>výp</w:t>
      </w:r>
      <w:proofErr w:type="spellEnd"/>
      <w:r w:rsidRPr="00741DCE">
        <w:rPr>
          <w:rFonts w:ascii="Times New Roman" w:hAnsi="Times New Roman" w:cs="Times New Roman"/>
          <w:sz w:val="24"/>
          <w:szCs w:val="24"/>
        </w:rPr>
        <w:t xml:space="preserve">. lehota; OKAMŽITÝM SKONČENÍM PRAC. POMERU – ak nastali skutočnosti: zamestnanec bol odsúdený za úmyselný trestný čin, hrubé porušenie pras. disciplíny, zmena zdrav. stavu na základe </w:t>
      </w:r>
      <w:proofErr w:type="spellStart"/>
      <w:r w:rsidRPr="00741DCE">
        <w:rPr>
          <w:rFonts w:ascii="Times New Roman" w:hAnsi="Times New Roman" w:cs="Times New Roman"/>
          <w:sz w:val="24"/>
          <w:szCs w:val="24"/>
        </w:rPr>
        <w:t>lek</w:t>
      </w:r>
      <w:proofErr w:type="spellEnd"/>
      <w:r w:rsidRPr="00741DCE">
        <w:rPr>
          <w:rFonts w:ascii="Times New Roman" w:hAnsi="Times New Roman" w:cs="Times New Roman"/>
          <w:sz w:val="24"/>
          <w:szCs w:val="24"/>
        </w:rPr>
        <w:t>. posudku, ak zamestnávateľa nevyplatil mzdu do 15-tych dní od výplatného termínu; SKONČENIE V SKÚŠOBNEJ LEHOTE – prac. pomer sa môže ukončiť bez udania dôvodu; HROMADNÉ PREPÚŠŤANIE – ak zamestnávateľ rozviaže prac. pomer s min. 20 zamestnancami</w:t>
      </w:r>
    </w:p>
    <w:p w:rsidR="00741DCE" w:rsidRPr="00741DCE" w:rsidRDefault="00741DCE" w:rsidP="00741DCE">
      <w:pPr>
        <w:numPr>
          <w:ilvl w:val="0"/>
          <w:numId w:val="1"/>
        </w:numPr>
        <w:tabs>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 xml:space="preserve">Účasť príslušného odborového orgánu pri skončení pracovného pomeru – zamestnávateľ ohlási odborom dôvody hromadného prepúšťania, dobu a počet prepustených a tiež kritériá výberu prepúšťaných. O uvedenom písomne informuje aj národný úrad práce. Prepusteným zamestnancom prináleží odstupné vo výške dvojnásobku priemerného mesačného zárobku. Zamestnávateľ je povinný vydať pri odchode potvrdenie: po dobe trvania prac. pomeru, po zrážkach, po čerpaní dovolenky, po mzde a preddavkoch na </w:t>
      </w:r>
      <w:proofErr w:type="spellStart"/>
      <w:r w:rsidRPr="00741DCE">
        <w:rPr>
          <w:rFonts w:ascii="Times New Roman" w:hAnsi="Times New Roman" w:cs="Times New Roman"/>
          <w:sz w:val="24"/>
          <w:szCs w:val="24"/>
        </w:rPr>
        <w:t>DzP</w:t>
      </w:r>
      <w:proofErr w:type="spellEnd"/>
      <w:r w:rsidRPr="00741DCE">
        <w:rPr>
          <w:rFonts w:ascii="Times New Roman" w:hAnsi="Times New Roman" w:cs="Times New Roman"/>
          <w:sz w:val="24"/>
          <w:szCs w:val="24"/>
        </w:rPr>
        <w:t>, po vykonaných skúškach</w:t>
      </w:r>
    </w:p>
    <w:p w:rsidR="00741DCE" w:rsidRPr="00741DCE" w:rsidRDefault="00741DCE" w:rsidP="00741DCE">
      <w:pPr>
        <w:numPr>
          <w:ilvl w:val="0"/>
          <w:numId w:val="1"/>
        </w:numPr>
        <w:tabs>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 xml:space="preserve">Pracovný posudok a potvrdenie o zamestnaní - zamestnanec odchádzajúci z firmy musí zamestnávateľa o posudok požiadať, zamestnávateľ povinný vydať zamestnancovi pracovný posudok do 15. dní od jeho požiadania (nie skôr ako 2 mesiace pred skončením prac. pomeru). </w:t>
      </w:r>
      <w:r w:rsidRPr="00741DCE">
        <w:rPr>
          <w:rFonts w:ascii="Times New Roman" w:hAnsi="Times New Roman" w:cs="Times New Roman"/>
          <w:b/>
          <w:i/>
          <w:sz w:val="24"/>
          <w:szCs w:val="24"/>
        </w:rPr>
        <w:t>Pracovným posudkom</w:t>
      </w:r>
      <w:r w:rsidRPr="00741DCE">
        <w:rPr>
          <w:rFonts w:ascii="Times New Roman" w:hAnsi="Times New Roman" w:cs="Times New Roman"/>
          <w:sz w:val="24"/>
          <w:szCs w:val="24"/>
        </w:rPr>
        <w:t xml:space="preserve"> sú všetky písomnosti týkajúce sa hodnotenia práce zamestnanca, jeho kvalifikácie, schopností a ďalších skutočností, ktoré majú vzťah k výkonu práce. Pri skončení pracovného pomeru je zamestnávateľ povinný vydať zamestnancovi </w:t>
      </w:r>
      <w:r w:rsidRPr="00741DCE">
        <w:rPr>
          <w:rFonts w:ascii="Times New Roman" w:hAnsi="Times New Roman" w:cs="Times New Roman"/>
          <w:b/>
          <w:sz w:val="24"/>
          <w:szCs w:val="24"/>
        </w:rPr>
        <w:t>potvrdenie o zamestnaní</w:t>
      </w:r>
      <w:r w:rsidRPr="00741DCE">
        <w:rPr>
          <w:rFonts w:ascii="Times New Roman" w:hAnsi="Times New Roman" w:cs="Times New Roman"/>
          <w:sz w:val="24"/>
          <w:szCs w:val="24"/>
        </w:rPr>
        <w:t xml:space="preserve"> a uviesť v ňom najmä: dobu trvania pracovného pomeru, druh vykonávaných prác, skutočnosť, či sa zo mzdy zamestnanca vykonávajú zrážky.</w:t>
      </w:r>
    </w:p>
    <w:p w:rsidR="00741DCE" w:rsidRPr="00741DCE" w:rsidRDefault="00741DCE" w:rsidP="00741DCE">
      <w:pPr>
        <w:numPr>
          <w:ilvl w:val="0"/>
          <w:numId w:val="1"/>
        </w:numPr>
        <w:tabs>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 xml:space="preserve">Odstupné a odchodné - </w:t>
      </w:r>
      <w:r w:rsidRPr="00741DCE">
        <w:rPr>
          <w:rFonts w:ascii="Times New Roman" w:hAnsi="Times New Roman" w:cs="Times New Roman"/>
          <w:color w:val="000000"/>
          <w:sz w:val="24"/>
          <w:szCs w:val="24"/>
        </w:rPr>
        <w:t>zamestnávateľ môže poskytnúť zamestnancovi odstupné, ak sa pracovný pomer skončí výpoveďou z dôvodov, že sa zamestnanec stane nadbytočný, odstupné v sume najmenej dvojnásobku jeho priemerného mesačného zárobku</w:t>
      </w:r>
    </w:p>
    <w:p w:rsidR="00741DCE" w:rsidRPr="00741DCE" w:rsidRDefault="00741DCE" w:rsidP="00741DCE">
      <w:pPr>
        <w:numPr>
          <w:ilvl w:val="0"/>
          <w:numId w:val="1"/>
        </w:numPr>
        <w:tabs>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Nároky z neplatného skončenia pracovného pomeru - ide o tzv. relatívnu neplatnosť právneho úkonu, ktorej sa môže dovolávať ten z účastníkov, ktorý je dôvodom neplatnosti postihnutý; pre oboch účastníkov pracovného pomeru platí 2-mesačná prekluzívna lehota, ktorá začína plynúť odo dňa, keď sa mal pracovný pomer skončiť. Ak zamestnávateľ alebo zamestnanec návrh na vyslovenie neplatnosti skončenia pracovného pomeru nepodá na súd včas v ustanovenej lehote, pracovný pomer sa skončí aj keď by išlo o neplatný právny úkon.</w:t>
      </w:r>
    </w:p>
    <w:p w:rsidR="00741DCE" w:rsidRPr="00741DCE" w:rsidRDefault="00741DCE" w:rsidP="00741DCE">
      <w:pPr>
        <w:numPr>
          <w:ilvl w:val="0"/>
          <w:numId w:val="1"/>
        </w:numPr>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 xml:space="preserve">Náhrada škody - </w:t>
      </w:r>
      <w:r w:rsidRPr="00741DCE">
        <w:rPr>
          <w:rFonts w:ascii="Times New Roman" w:hAnsi="Times New Roman" w:cs="Times New Roman"/>
          <w:b/>
          <w:color w:val="000000"/>
          <w:sz w:val="24"/>
          <w:szCs w:val="24"/>
        </w:rPr>
        <w:t>zamestnanec</w:t>
      </w:r>
      <w:r w:rsidRPr="00741DCE">
        <w:rPr>
          <w:rFonts w:ascii="Times New Roman" w:hAnsi="Times New Roman" w:cs="Times New Roman"/>
          <w:color w:val="000000"/>
          <w:sz w:val="24"/>
          <w:szCs w:val="24"/>
        </w:rPr>
        <w:t xml:space="preserve"> zodpovedá zamestnávateľovi za škodu, ktorú mu spôsobil zavineným porušením povinnosti pri plnení pracovných úloh; zamestnávateľ je povinný požadovať od zamestnanca náhradu škody, za ktorú mu zamestnanec zodpovedá; zamestnanec, ktorý zodpovedá za škodu, je povinný nahradiť zamestnávateľovi skutočnú škodu, a to v peniazoch, ak škodu neodstráni. Zamestnávateľ zodpovedá svojmu zamestnancovi za škodu, ktorá mu vznikla:</w:t>
      </w:r>
      <w:r w:rsidRPr="00741DCE">
        <w:rPr>
          <w:rFonts w:ascii="Times New Roman" w:hAnsi="Times New Roman" w:cs="Times New Roman"/>
          <w:sz w:val="24"/>
          <w:szCs w:val="24"/>
        </w:rPr>
        <w:t xml:space="preserve"> </w:t>
      </w:r>
      <w:r w:rsidRPr="00741DCE">
        <w:rPr>
          <w:rFonts w:ascii="Times New Roman" w:hAnsi="Times New Roman" w:cs="Times New Roman"/>
          <w:color w:val="000000"/>
          <w:sz w:val="24"/>
          <w:szCs w:val="24"/>
        </w:rPr>
        <w:t xml:space="preserve">pri pracovných úrazoch a chorobách z povolania, ak zamestnanec pri plnení pracovných úloh alebo v priamej súvislosti s nimi bol poškodený na zdraví alebo došlo k jeho smrti úrazom; </w:t>
      </w:r>
      <w:r w:rsidRPr="00741DCE">
        <w:rPr>
          <w:rFonts w:ascii="Times New Roman" w:hAnsi="Times New Roman" w:cs="Times New Roman"/>
          <w:sz w:val="24"/>
          <w:szCs w:val="24"/>
        </w:rPr>
        <w:t xml:space="preserve">a </w:t>
      </w:r>
      <w:r w:rsidRPr="00741DCE">
        <w:rPr>
          <w:rFonts w:ascii="Times New Roman" w:hAnsi="Times New Roman" w:cs="Times New Roman"/>
          <w:color w:val="000000"/>
          <w:sz w:val="24"/>
          <w:szCs w:val="24"/>
        </w:rPr>
        <w:t>na odložených veciach</w:t>
      </w:r>
    </w:p>
    <w:p w:rsidR="00741DCE" w:rsidRPr="00741DCE" w:rsidRDefault="00741DCE" w:rsidP="00741DCE">
      <w:pPr>
        <w:numPr>
          <w:ilvl w:val="0"/>
          <w:numId w:val="1"/>
        </w:numPr>
        <w:tabs>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lastRenderedPageBreak/>
        <w:t>Dovolenka – prislúcha zamestnancovi za kalendárny rok a za odpracované dni. Výmera dovolenky: a) základná – 4 týždne (1 t. = 5 prac. dní), 5 týždňov (odprac. 15. r. po 18. r. života), 8 týždňov (učitelia v školstve); b) dodatková – okrem základnej prislúcha zamestnancovi, kt. pracuje pod zemou alebo s chemikáliami v trvaní 1 týždeň; c) ďalšia – prislúcha zamestnancovi, kt. pracuje s poveternostnými výkyvmi v trvaní 1 týždeň (napr. v mraziarňach). Zamestnancovi patrí náhrada mzdy za dovolenku vo výške priemerného zárobku.</w:t>
      </w:r>
    </w:p>
    <w:p w:rsidR="00741DCE" w:rsidRPr="00741DCE" w:rsidRDefault="00741DCE" w:rsidP="00741DCE">
      <w:pPr>
        <w:pStyle w:val="Nadpis1"/>
        <w:numPr>
          <w:ilvl w:val="0"/>
          <w:numId w:val="1"/>
        </w:numPr>
        <w:tabs>
          <w:tab w:val="left" w:pos="8222"/>
        </w:tabs>
        <w:ind w:left="0" w:firstLine="0"/>
        <w:jc w:val="both"/>
        <w:rPr>
          <w:szCs w:val="24"/>
        </w:rPr>
      </w:pPr>
      <w:r w:rsidRPr="00741DCE">
        <w:rPr>
          <w:szCs w:val="24"/>
        </w:rPr>
        <w:t>Dohody o prácach vykonávaných mimo pracovného pomeru - zamestnávateľ neriadi priebeh výkonu práce, zamestnanec odovzdáva iba výsledok práce.</w:t>
      </w:r>
    </w:p>
    <w:p w:rsidR="00741DCE" w:rsidRPr="00741DCE" w:rsidRDefault="00741DCE" w:rsidP="00741DCE">
      <w:pPr>
        <w:numPr>
          <w:ilvl w:val="0"/>
          <w:numId w:val="1"/>
        </w:numPr>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 xml:space="preserve">Dohoda o vykonaní práce - môže byť uzatvorená </w:t>
      </w:r>
      <w:r w:rsidRPr="00741DCE">
        <w:rPr>
          <w:rFonts w:ascii="Times New Roman" w:hAnsi="Times New Roman" w:cs="Times New Roman"/>
          <w:bCs/>
          <w:sz w:val="24"/>
          <w:szCs w:val="24"/>
        </w:rPr>
        <w:t>len s FO</w:t>
      </w:r>
      <w:r w:rsidRPr="00741DCE">
        <w:rPr>
          <w:rFonts w:ascii="Times New Roman" w:hAnsi="Times New Roman" w:cs="Times New Roman"/>
          <w:sz w:val="24"/>
          <w:szCs w:val="24"/>
        </w:rPr>
        <w:t xml:space="preserve">; pracovný záväzok je definovaný vo forme pracovnej úlohy, čas na jej vykonanie </w:t>
      </w:r>
      <w:r w:rsidRPr="00741DCE">
        <w:rPr>
          <w:rFonts w:ascii="Times New Roman" w:hAnsi="Times New Roman" w:cs="Times New Roman"/>
          <w:bCs/>
          <w:sz w:val="24"/>
          <w:szCs w:val="24"/>
        </w:rPr>
        <w:t>nesmie presiahnuť 300 hodín v kalendárnom roku</w:t>
      </w:r>
      <w:r w:rsidRPr="00741DCE">
        <w:rPr>
          <w:rFonts w:ascii="Times New Roman" w:hAnsi="Times New Roman" w:cs="Times New Roman"/>
          <w:sz w:val="24"/>
          <w:szCs w:val="24"/>
        </w:rPr>
        <w:t>, ale do tohto sa započítava aj doba práce, ktorú zamestnanec vykonáva pre zamestnávateľa na základe inej dohody o vykonaní práce</w:t>
      </w:r>
    </w:p>
    <w:p w:rsidR="00741DCE" w:rsidRPr="00741DCE" w:rsidRDefault="00741DCE" w:rsidP="00741DCE">
      <w:pPr>
        <w:pStyle w:val="Normlnywebov"/>
        <w:numPr>
          <w:ilvl w:val="0"/>
          <w:numId w:val="1"/>
        </w:numPr>
        <w:ind w:left="0" w:firstLine="0"/>
        <w:jc w:val="both"/>
      </w:pPr>
      <w:r w:rsidRPr="00741DCE">
        <w:t xml:space="preserve">Dohoda o brigádnickej práci študentov - môže zamestnávateľ uzatvoriť s FO, ktorá má štatút študenta, aj keď predpokladaný rozsah nepresahuje 100 hodín v kalendárnom roku; uzatvára sa písomne a musí byť uvedené: dohodnutá práca, dohodnutá odmena za vykonanú prácu, dohodnutý rozsah pracovného času a doba, na ktorú sa dohoda uzatvára. </w:t>
      </w:r>
    </w:p>
    <w:p w:rsidR="00741DCE" w:rsidRPr="00741DCE" w:rsidRDefault="00741DCE" w:rsidP="00741DCE">
      <w:pPr>
        <w:numPr>
          <w:ilvl w:val="0"/>
          <w:numId w:val="1"/>
        </w:numPr>
        <w:tabs>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Právna úprava živnostenského podnikania – sústavná cieľavedomá činnosť vykonávaná živnostníkom vo vlastnom mene, na vlastnú zodpovednosť s cieľom dosiahnutia zisku za podmienok stanovených živnostenským zákonom. Prevádzkovanie živnosti: FO – vek 18 r., spôsobilosť na právne úkony, bezúhonnosť; aj PO</w:t>
      </w:r>
    </w:p>
    <w:p w:rsidR="00741DCE" w:rsidRPr="00741DCE" w:rsidRDefault="00741DCE" w:rsidP="00741DCE">
      <w:pPr>
        <w:numPr>
          <w:ilvl w:val="0"/>
          <w:numId w:val="1"/>
        </w:numPr>
        <w:tabs>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 xml:space="preserve">Podnikanie podľa obchodného zákonníka – sústavná činnosť vykonávaná samostatne podnikateľom vo vlastnom mene a na vlastnú zodpovednosť, s cieľom dosiahnutia zisku. </w:t>
      </w:r>
    </w:p>
    <w:p w:rsidR="00741DCE" w:rsidRPr="00741DCE" w:rsidRDefault="00741DCE" w:rsidP="00741DCE">
      <w:pPr>
        <w:tabs>
          <w:tab w:val="left" w:pos="8222"/>
        </w:tabs>
        <w:jc w:val="both"/>
        <w:rPr>
          <w:rFonts w:ascii="Times New Roman" w:hAnsi="Times New Roman" w:cs="Times New Roman"/>
          <w:sz w:val="24"/>
          <w:szCs w:val="24"/>
        </w:rPr>
      </w:pPr>
      <w:r w:rsidRPr="00741DCE">
        <w:rPr>
          <w:rFonts w:ascii="Times New Roman" w:hAnsi="Times New Roman" w:cs="Times New Roman"/>
          <w:sz w:val="24"/>
          <w:szCs w:val="24"/>
        </w:rPr>
        <w:t xml:space="preserve">I. osoba, ktorá je zapísaná v OR (povinne PO, FO dobrovoľne), II. osoba, ktorá nie je zapísaná do OR, ale podniká na základe </w:t>
      </w:r>
      <w:proofErr w:type="spellStart"/>
      <w:r w:rsidRPr="00741DCE">
        <w:rPr>
          <w:rFonts w:ascii="Times New Roman" w:hAnsi="Times New Roman" w:cs="Times New Roman"/>
          <w:sz w:val="24"/>
          <w:szCs w:val="24"/>
        </w:rPr>
        <w:t>živnost</w:t>
      </w:r>
      <w:proofErr w:type="spellEnd"/>
      <w:r w:rsidRPr="00741DCE">
        <w:rPr>
          <w:rFonts w:ascii="Times New Roman" w:hAnsi="Times New Roman" w:cs="Times New Roman"/>
          <w:sz w:val="24"/>
          <w:szCs w:val="24"/>
        </w:rPr>
        <w:t xml:space="preserve">. zákona, III. osoba, ktorá podniká na základe iného ako </w:t>
      </w:r>
      <w:proofErr w:type="spellStart"/>
      <w:r w:rsidRPr="00741DCE">
        <w:rPr>
          <w:rFonts w:ascii="Times New Roman" w:hAnsi="Times New Roman" w:cs="Times New Roman"/>
          <w:sz w:val="24"/>
          <w:szCs w:val="24"/>
        </w:rPr>
        <w:t>živnost</w:t>
      </w:r>
      <w:proofErr w:type="spellEnd"/>
      <w:r w:rsidRPr="00741DCE">
        <w:rPr>
          <w:rFonts w:ascii="Times New Roman" w:hAnsi="Times New Roman" w:cs="Times New Roman"/>
          <w:sz w:val="24"/>
          <w:szCs w:val="24"/>
        </w:rPr>
        <w:t xml:space="preserve">. zákona (daňoví poradcovia, advokáti), IV. FO vykonávajúce </w:t>
      </w:r>
      <w:proofErr w:type="spellStart"/>
      <w:r w:rsidRPr="00741DCE">
        <w:rPr>
          <w:rFonts w:ascii="Times New Roman" w:hAnsi="Times New Roman" w:cs="Times New Roman"/>
          <w:sz w:val="24"/>
          <w:szCs w:val="24"/>
        </w:rPr>
        <w:t>poľnohos</w:t>
      </w:r>
      <w:proofErr w:type="spellEnd"/>
      <w:r w:rsidRPr="00741DCE">
        <w:rPr>
          <w:rFonts w:ascii="Times New Roman" w:hAnsi="Times New Roman" w:cs="Times New Roman"/>
          <w:sz w:val="24"/>
          <w:szCs w:val="24"/>
        </w:rPr>
        <w:t>. výrobu, V. zahraničné osoby, kt. majú právo podnikať v zahraničí</w:t>
      </w:r>
    </w:p>
    <w:p w:rsidR="00741DCE" w:rsidRPr="00741DCE" w:rsidRDefault="00741DCE" w:rsidP="00741DCE">
      <w:pPr>
        <w:numPr>
          <w:ilvl w:val="1"/>
          <w:numId w:val="1"/>
        </w:numPr>
        <w:tabs>
          <w:tab w:val="clear" w:pos="1440"/>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 xml:space="preserve">Konanie podnikateľa, prokúra – FO – bez akéhokoľvek obmedzenia osobne, alebo prostredníctvom zástupcu; PO – rozlišujeme: rozhodovanie a právne konanie prostredníctvom: </w:t>
      </w:r>
      <w:proofErr w:type="spellStart"/>
      <w:r w:rsidRPr="00741DCE">
        <w:rPr>
          <w:rFonts w:ascii="Times New Roman" w:hAnsi="Times New Roman" w:cs="Times New Roman"/>
          <w:sz w:val="24"/>
          <w:szCs w:val="24"/>
        </w:rPr>
        <w:t>štatut</w:t>
      </w:r>
      <w:proofErr w:type="spellEnd"/>
      <w:r w:rsidRPr="00741DCE">
        <w:rPr>
          <w:rFonts w:ascii="Times New Roman" w:hAnsi="Times New Roman" w:cs="Times New Roman"/>
          <w:sz w:val="24"/>
          <w:szCs w:val="24"/>
        </w:rPr>
        <w:t xml:space="preserve">. orgánu alebo zástupcu. </w:t>
      </w:r>
      <w:r w:rsidRPr="00741DCE">
        <w:rPr>
          <w:rFonts w:ascii="Times New Roman" w:hAnsi="Times New Roman" w:cs="Times New Roman"/>
          <w:b/>
          <w:sz w:val="24"/>
          <w:szCs w:val="24"/>
        </w:rPr>
        <w:t>Prokúra</w:t>
      </w:r>
      <w:r w:rsidRPr="00741DCE">
        <w:rPr>
          <w:rFonts w:ascii="Times New Roman" w:hAnsi="Times New Roman" w:cs="Times New Roman"/>
          <w:sz w:val="24"/>
          <w:szCs w:val="24"/>
        </w:rPr>
        <w:t xml:space="preserve"> je špeciálny typ zastúpenia na základe plnej moci, prokurista (t. j. splnomocnený na základe plnej moci) je oprávnený konať za podnikateľa vo všetkých úkonoch týkajúcich sa prevádzky podniku.</w:t>
      </w:r>
    </w:p>
    <w:p w:rsidR="00741DCE" w:rsidRPr="00741DCE" w:rsidRDefault="00741DCE" w:rsidP="00741DCE">
      <w:pPr>
        <w:numPr>
          <w:ilvl w:val="0"/>
          <w:numId w:val="2"/>
        </w:numPr>
        <w:tabs>
          <w:tab w:val="clear" w:pos="360"/>
          <w:tab w:val="num" w:pos="709"/>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Obchodné spoločnosti – v. o. s., k. s., s. r. o., a. s.</w:t>
      </w:r>
    </w:p>
    <w:p w:rsidR="00741DCE" w:rsidRPr="00741DCE" w:rsidRDefault="00741DCE" w:rsidP="00741DCE">
      <w:pPr>
        <w:numPr>
          <w:ilvl w:val="0"/>
          <w:numId w:val="2"/>
        </w:numPr>
        <w:tabs>
          <w:tab w:val="clear" w:pos="360"/>
          <w:tab w:val="num" w:pos="709"/>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Družstvo – spoločenstvo neohraničeného počtu spoločníkov, kt. cieľom je využívať majetok na spoločné ciele; má zmiešanú formu, zakladajú 2 PO alebo 5 FO, kt. zvolajú 1. členskú schôdzu – tu sa podpíšu stanovy družstva – základné predpisy, kt. nesmú byť v rozpore s Obch. zák., slovo družstvo musí byť súčasť názvu; ZI – Sk 50 000,–</w:t>
      </w:r>
    </w:p>
    <w:p w:rsidR="00741DCE" w:rsidRPr="00741DCE" w:rsidRDefault="00741DCE" w:rsidP="00741DCE">
      <w:pPr>
        <w:numPr>
          <w:ilvl w:val="0"/>
          <w:numId w:val="2"/>
        </w:numPr>
        <w:tabs>
          <w:tab w:val="clear" w:pos="360"/>
          <w:tab w:val="num" w:pos="709"/>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Pojem a predmet trestného práva – chráni významné spol. vzťahy pred protiprávnym konaním, tým že určuje čo je trestný čin, stanovuje podmienky trestnej zodpovednosti i beztrestnosti, druhy sankcií, spôsob ich ukladania a výkonu, upravuje postup orgánov činných v trestnom konaní súdov, zúčastnených osôb. Predmetom trest. práva je regulácia vzťahov, kt. vznikajú v súvislosti s páchaním trestných činov</w:t>
      </w:r>
    </w:p>
    <w:p w:rsidR="00741DCE" w:rsidRPr="00741DCE" w:rsidRDefault="00741DCE" w:rsidP="00741DCE">
      <w:pPr>
        <w:numPr>
          <w:ilvl w:val="0"/>
          <w:numId w:val="2"/>
        </w:numPr>
        <w:tabs>
          <w:tab w:val="clear" w:pos="360"/>
          <w:tab w:val="num" w:pos="709"/>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Pramene a štruktúra trestného práva – trestný zákon, trestný poriadok, zákon o výkone trestu, európsky zatýkací rozkaz, zákon o ochrane svedka, o súdoch, sudcoch a prísediacich, zákon o prokuratúre, advokácii, policajnom zbore.. Trestné právo sa delí na hmotné trestné právo a procesné trestné právo</w:t>
      </w:r>
    </w:p>
    <w:p w:rsidR="00741DCE" w:rsidRPr="00741DCE" w:rsidRDefault="00741DCE" w:rsidP="00741DCE">
      <w:pPr>
        <w:numPr>
          <w:ilvl w:val="0"/>
          <w:numId w:val="2"/>
        </w:numPr>
        <w:tabs>
          <w:tab w:val="clear" w:pos="360"/>
          <w:tab w:val="num" w:pos="709"/>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 xml:space="preserve">Trestnoprávne sankcie </w:t>
      </w:r>
      <w:r w:rsidRPr="00741DCE">
        <w:rPr>
          <w:rFonts w:ascii="Times New Roman" w:hAnsi="Times New Roman" w:cs="Times New Roman"/>
          <w:b/>
          <w:sz w:val="24"/>
          <w:szCs w:val="24"/>
        </w:rPr>
        <w:t>– tresty</w:t>
      </w:r>
      <w:r w:rsidRPr="00741DCE">
        <w:rPr>
          <w:rFonts w:ascii="Times New Roman" w:hAnsi="Times New Roman" w:cs="Times New Roman"/>
          <w:sz w:val="24"/>
          <w:szCs w:val="24"/>
        </w:rPr>
        <w:t xml:space="preserve"> – trest odňatia slobody, domáceho vezenia, povinnej práce, peňažný trest, prepadnutia majetku, zákazu činnosti, straty čestných titulov a vyznamenaní, hodnosti a trest vyhostenia; </w:t>
      </w:r>
    </w:p>
    <w:p w:rsidR="00741DCE" w:rsidRPr="00741DCE" w:rsidRDefault="00741DCE" w:rsidP="00741DCE">
      <w:pPr>
        <w:tabs>
          <w:tab w:val="left" w:pos="8222"/>
        </w:tabs>
        <w:jc w:val="both"/>
        <w:rPr>
          <w:rFonts w:ascii="Times New Roman" w:hAnsi="Times New Roman" w:cs="Times New Roman"/>
          <w:sz w:val="24"/>
          <w:szCs w:val="24"/>
        </w:rPr>
      </w:pPr>
      <w:r w:rsidRPr="00741DCE">
        <w:rPr>
          <w:rFonts w:ascii="Times New Roman" w:hAnsi="Times New Roman" w:cs="Times New Roman"/>
          <w:b/>
          <w:sz w:val="24"/>
          <w:szCs w:val="24"/>
        </w:rPr>
        <w:t>- ochranné opatrenia</w:t>
      </w:r>
      <w:r w:rsidRPr="00741DCE">
        <w:rPr>
          <w:rFonts w:ascii="Times New Roman" w:hAnsi="Times New Roman" w:cs="Times New Roman"/>
          <w:sz w:val="24"/>
          <w:szCs w:val="24"/>
        </w:rPr>
        <w:t xml:space="preserve"> – osoba, kt. nebola stíhaná: ochranné liečenie (musí ho prepustiť súd), ochranná výchova (u mladistvého), ochranný dohľad ( pomôcť k adaptácii), </w:t>
      </w:r>
      <w:proofErr w:type="spellStart"/>
      <w:r w:rsidRPr="00741DCE">
        <w:rPr>
          <w:rFonts w:ascii="Times New Roman" w:hAnsi="Times New Roman" w:cs="Times New Roman"/>
          <w:sz w:val="24"/>
          <w:szCs w:val="24"/>
        </w:rPr>
        <w:t>detencia</w:t>
      </w:r>
      <w:proofErr w:type="spellEnd"/>
      <w:r w:rsidRPr="00741DCE">
        <w:rPr>
          <w:rFonts w:ascii="Times New Roman" w:hAnsi="Times New Roman" w:cs="Times New Roman"/>
          <w:sz w:val="24"/>
          <w:szCs w:val="24"/>
        </w:rPr>
        <w:t xml:space="preserve"> (páchateľ počas trestu ochorel nevyliečiteľnou duševnou chorobou – preradí sa na psychiatriu), zhabanie majetku</w:t>
      </w:r>
    </w:p>
    <w:p w:rsidR="00741DCE" w:rsidRPr="00741DCE" w:rsidRDefault="00741DCE" w:rsidP="00741DCE">
      <w:pPr>
        <w:numPr>
          <w:ilvl w:val="0"/>
          <w:numId w:val="2"/>
        </w:numPr>
        <w:tabs>
          <w:tab w:val="clear" w:pos="360"/>
          <w:tab w:val="num" w:pos="709"/>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Trestný čin a jeho druhy – protiprávny či</w:t>
      </w:r>
      <w:r w:rsidR="00270269">
        <w:rPr>
          <w:rFonts w:ascii="Times New Roman" w:hAnsi="Times New Roman" w:cs="Times New Roman"/>
          <w:sz w:val="24"/>
          <w:szCs w:val="24"/>
        </w:rPr>
        <w:t>n</w:t>
      </w:r>
      <w:r w:rsidRPr="00741DCE">
        <w:rPr>
          <w:rFonts w:ascii="Times New Roman" w:hAnsi="Times New Roman" w:cs="Times New Roman"/>
          <w:sz w:val="24"/>
          <w:szCs w:val="24"/>
        </w:rPr>
        <w:t xml:space="preserve">, kt. znaky sú uvedené v trestnom zákone, ak tento zákon neustanovuje inak. Poznáme: PREČINY – všetky nedbanlivostné, úmyselné trest. činy, kde vrchná </w:t>
      </w:r>
      <w:r w:rsidRPr="00741DCE">
        <w:rPr>
          <w:rFonts w:ascii="Times New Roman" w:hAnsi="Times New Roman" w:cs="Times New Roman"/>
          <w:sz w:val="24"/>
          <w:szCs w:val="24"/>
        </w:rPr>
        <w:lastRenderedPageBreak/>
        <w:t>hranica trestu nepresahuje 5 r.; ZLOČINY – úmyselné trest. činy, kde hranica trestu je viac ako 5 r.; OBZVLÁŠŤ ZÁVAŽNÉ ZLOČINY – spodná hranica trestu je min. 8. r.</w:t>
      </w:r>
    </w:p>
    <w:p w:rsidR="00741DCE" w:rsidRPr="00741DCE" w:rsidRDefault="00741DCE" w:rsidP="00741DCE">
      <w:pPr>
        <w:numPr>
          <w:ilvl w:val="1"/>
          <w:numId w:val="2"/>
        </w:numPr>
        <w:tabs>
          <w:tab w:val="clear" w:pos="1080"/>
          <w:tab w:val="num" w:pos="709"/>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Ústava SR – všeobecná charakteristika – prameňom ústavného práva v SR, vrcholný zákon s najvyššou právnou mocou, ktorá bola vyhlásená v zbierke zákonov ako zákon č. 460/1992 Z. z.; základný zákon štátu, spoločnosti, rovnako ako pojem štátu ani pojem ústava nie je v odbornej literatúre jednotný, za ústavu možno považovať základnú normu, od kt. sa odvodzujú ostatné právne normy; štát ňou priznáva jednotlivcovi práva, kt. sa zaväzuje rešpektovať sám a chrániť, či už voči orgánom verejnej moci, štátnej moci, alebo voči komukoľvek inému</w:t>
      </w:r>
    </w:p>
    <w:p w:rsidR="00741DCE" w:rsidRPr="00741DCE" w:rsidRDefault="00741DCE" w:rsidP="00741DCE">
      <w:pPr>
        <w:numPr>
          <w:ilvl w:val="1"/>
          <w:numId w:val="2"/>
        </w:numPr>
        <w:tabs>
          <w:tab w:val="clear" w:pos="1080"/>
          <w:tab w:val="num" w:pos="709"/>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 xml:space="preserve">Základné práva a slobody – postavenie človeka v štáte a spoločnosti; povaha, rozsah a garancia jeho práv a slobôd majú zásadný význam pre život každého jednotlivca; ústava na 1. mieste zakotvuje práva tzv. prirodzeno-právnej povahy v tom zmysle, že ľudia sú slobodní a rovní v ich dôstojnosti a právach, pričom vyhlasuje ich </w:t>
      </w:r>
      <w:proofErr w:type="spellStart"/>
      <w:r w:rsidRPr="00741DCE">
        <w:rPr>
          <w:rFonts w:ascii="Times New Roman" w:hAnsi="Times New Roman" w:cs="Times New Roman"/>
          <w:sz w:val="24"/>
          <w:szCs w:val="24"/>
        </w:rPr>
        <w:t>neodnateľnosť</w:t>
      </w:r>
      <w:proofErr w:type="spellEnd"/>
      <w:r w:rsidRPr="00741DCE">
        <w:rPr>
          <w:rFonts w:ascii="Times New Roman" w:hAnsi="Times New Roman" w:cs="Times New Roman"/>
          <w:sz w:val="24"/>
          <w:szCs w:val="24"/>
        </w:rPr>
        <w:t xml:space="preserve">, </w:t>
      </w:r>
      <w:proofErr w:type="spellStart"/>
      <w:r w:rsidRPr="00741DCE">
        <w:rPr>
          <w:rFonts w:ascii="Times New Roman" w:hAnsi="Times New Roman" w:cs="Times New Roman"/>
          <w:sz w:val="24"/>
          <w:szCs w:val="24"/>
        </w:rPr>
        <w:t>nescuditeľnosť</w:t>
      </w:r>
      <w:proofErr w:type="spellEnd"/>
      <w:r w:rsidRPr="00741DCE">
        <w:rPr>
          <w:rFonts w:ascii="Times New Roman" w:hAnsi="Times New Roman" w:cs="Times New Roman"/>
          <w:sz w:val="24"/>
          <w:szCs w:val="24"/>
        </w:rPr>
        <w:t>, nepremlčateľnosť a nezrušiteľnosť</w:t>
      </w:r>
    </w:p>
    <w:p w:rsidR="00741DCE" w:rsidRPr="00741DCE" w:rsidRDefault="00741DCE" w:rsidP="00741DCE">
      <w:pPr>
        <w:tabs>
          <w:tab w:val="left" w:pos="8222"/>
        </w:tabs>
        <w:jc w:val="both"/>
        <w:rPr>
          <w:rFonts w:ascii="Times New Roman" w:hAnsi="Times New Roman" w:cs="Times New Roman"/>
          <w:sz w:val="24"/>
          <w:szCs w:val="24"/>
        </w:rPr>
      </w:pPr>
      <w:r w:rsidRPr="00741DCE">
        <w:rPr>
          <w:rFonts w:ascii="Times New Roman" w:hAnsi="Times New Roman" w:cs="Times New Roman"/>
          <w:sz w:val="24"/>
          <w:szCs w:val="24"/>
        </w:rPr>
        <w:t>Ľudské práva – oprávnenia priznané jednotlivcovi, kt. mu umožňujú plne využívať svoje schopnosti, inteligenciu, talent a vedomosti na uspokojovanie duchovných a iných túžob a cieľov; sú také podstatné pre dôstojnosť a autentickosť ľudskej bytosti, že by ich mala rešpektovať každá politická moc; sú univerzálne – patria každému človeku bez ohľadu na pohlavie, rasu, farbu pleti, jazyk, vieru, náboženstvo, pol. zmýšľanie, národný a sociálny pôvod, príslušnosť k národnosti, etnickej skupine, majetok, rod: právo na život, nedotknuteľnosť osoby a súkromia, osobná sloboda, nikoho nemožno poslať na nútené práce, každý má právo na ochranu svojej osobnosti, vlastniť majetok, listové tajomstvo, sloboda pohybu, myslenia, svedomia, náb. vyznania, viery</w:t>
      </w:r>
    </w:p>
    <w:p w:rsidR="00741DCE" w:rsidRPr="00741DCE" w:rsidRDefault="00741DCE" w:rsidP="00741DCE">
      <w:pPr>
        <w:numPr>
          <w:ilvl w:val="1"/>
          <w:numId w:val="2"/>
        </w:numPr>
        <w:tabs>
          <w:tab w:val="clear" w:pos="1080"/>
          <w:tab w:val="num" w:pos="709"/>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Hospodárstvo SR podľa Ústavy SR – zakladá sa na princípoch sociálne, ekologicky a trhovo orientovanej ekonomiky; pod ochranou ústavy je hospodárska súťaž; finančné hospodárenie SR spravuje ŠR</w:t>
      </w:r>
    </w:p>
    <w:p w:rsidR="00741DCE" w:rsidRPr="00741DCE" w:rsidRDefault="00741DCE" w:rsidP="00741DCE">
      <w:pPr>
        <w:numPr>
          <w:ilvl w:val="1"/>
          <w:numId w:val="2"/>
        </w:numPr>
        <w:tabs>
          <w:tab w:val="clear" w:pos="1080"/>
          <w:tab w:val="num" w:pos="709"/>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Samospráva – neoddeliteľná súčasť nášho ústavného systému, základom kt. je obec (mesto); tvorí ju obec, mesto, VÚC, kt. združujú osoby, kt. majú na ich území trvalý pobyt</w:t>
      </w:r>
    </w:p>
    <w:p w:rsidR="00741DCE" w:rsidRPr="00741DCE" w:rsidRDefault="00741DCE" w:rsidP="00741DCE">
      <w:pPr>
        <w:numPr>
          <w:ilvl w:val="1"/>
          <w:numId w:val="2"/>
        </w:numPr>
        <w:tabs>
          <w:tab w:val="clear" w:pos="1080"/>
          <w:tab w:val="num" w:pos="709"/>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NR SR – ústavodarný a zákonodarný orgán SR, kt. má 150 poslancov; do pôsobnosti patri: uznášať sa na zákonoch, ústavným zákonom schvaľovať zmluvu o vstupe SR do štátneho zväzku s inými štátmi a o vypovedaní takejto zmluvy, zriaďovať ministerstvá a ostatné orgány štátnej správy, rokovať o programovom vyhlásení vlády SR, kontrovať činnosť vlády, schvaľovať ŠR, uznášať sa o vypovedaní vojny</w:t>
      </w:r>
    </w:p>
    <w:p w:rsidR="00741DCE" w:rsidRPr="00741DCE" w:rsidRDefault="00741DCE" w:rsidP="00741DCE">
      <w:pPr>
        <w:numPr>
          <w:ilvl w:val="1"/>
          <w:numId w:val="2"/>
        </w:numPr>
        <w:tabs>
          <w:tab w:val="clear" w:pos="1080"/>
          <w:tab w:val="num" w:pos="709"/>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Vláda SR – najvyšším výkonným orgánom, kt. organizuje a zabezpečuje plnenie úloh v hosp., soc. a kult. Oblasti; zabezpečuje plnenie zákonov svojich nariadení a uznesení, riadi a </w:t>
      </w:r>
      <w:proofErr w:type="spellStart"/>
      <w:r w:rsidRPr="00741DCE">
        <w:rPr>
          <w:rFonts w:ascii="Times New Roman" w:hAnsi="Times New Roman" w:cs="Times New Roman"/>
          <w:sz w:val="24"/>
          <w:szCs w:val="24"/>
        </w:rPr>
        <w:t>kotroluje</w:t>
      </w:r>
      <w:proofErr w:type="spellEnd"/>
      <w:r w:rsidRPr="00741DCE">
        <w:rPr>
          <w:rFonts w:ascii="Times New Roman" w:hAnsi="Times New Roman" w:cs="Times New Roman"/>
          <w:sz w:val="24"/>
          <w:szCs w:val="24"/>
        </w:rPr>
        <w:t xml:space="preserve"> činnosti jednotlivých ministerstiev; rozhoduje o návrhoch zákonov, nariadeniach vlády, programe vlády, o návrhu ŠR, udelení amnestie vo veciach priestupkov</w:t>
      </w:r>
    </w:p>
    <w:p w:rsidR="00741DCE" w:rsidRPr="00741DCE" w:rsidRDefault="00741DCE" w:rsidP="00741DCE">
      <w:pPr>
        <w:numPr>
          <w:ilvl w:val="1"/>
          <w:numId w:val="2"/>
        </w:numPr>
        <w:tabs>
          <w:tab w:val="clear" w:pos="1080"/>
          <w:tab w:val="num" w:pos="709"/>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Prezident SR – patrí k výkonnej moci, hlavou štátu, zastupuje SR navonok, dojednáva a ratifikuje zmluvy, prijíma, poveruje a odvoláva vedúcich diplomatických misií, zvoláva ustanovujúcu schôdzu NR SR, podpisuje zákony, vymenúva a odvoláva rektorov, vymenúva vysokoškolských profesorov, udeľuje vyznamenania, odpúšťa zmierňuje tresty, je veliteľom ozbrojených síl</w:t>
      </w:r>
    </w:p>
    <w:p w:rsidR="00741DCE" w:rsidRPr="00741DCE" w:rsidRDefault="00741DCE" w:rsidP="00741DCE">
      <w:pPr>
        <w:numPr>
          <w:ilvl w:val="1"/>
          <w:numId w:val="2"/>
        </w:numPr>
        <w:tabs>
          <w:tab w:val="clear" w:pos="1080"/>
          <w:tab w:val="num" w:pos="709"/>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Súdnictvo v SR – vykonávajú nezávislé súdy, kt. súdnu moc vykonávajú nezávisle od zákonodarnej a výkonnej moci; úlohou súdov je garantovať práva a slobody a zákonom chránené záujmy občanov, PO a štátu</w:t>
      </w:r>
    </w:p>
    <w:p w:rsidR="00741DCE" w:rsidRPr="00741DCE" w:rsidRDefault="00741DCE" w:rsidP="00741DCE">
      <w:pPr>
        <w:numPr>
          <w:ilvl w:val="1"/>
          <w:numId w:val="2"/>
        </w:numPr>
        <w:tabs>
          <w:tab w:val="clear" w:pos="1080"/>
          <w:tab w:val="num" w:pos="709"/>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Verejný ochranca práv – osobitné postavenie mám ÚSTAVNÝ SÚD SR – chráni ústavnosť v SR, garantuje základné práva a slobody, buduje právny štát a to akceptáciou ústavy ako zákl. zákona a to tak všetkými štátnymi orgánmi a jednotlivcami</w:t>
      </w:r>
    </w:p>
    <w:p w:rsidR="00741DCE" w:rsidRPr="00741DCE" w:rsidRDefault="00741DCE" w:rsidP="00741DCE">
      <w:pPr>
        <w:numPr>
          <w:ilvl w:val="1"/>
          <w:numId w:val="2"/>
        </w:numPr>
        <w:tabs>
          <w:tab w:val="clear" w:pos="1080"/>
          <w:tab w:val="num" w:pos="709"/>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Prokuratúra – postavenie osobitného štátneho orgánu v SR; plní tie isté úlohy ako súdnictvo, avšak tieto úlohy plní a zabezpečuje inými prostriedkami; na čele stojí generálny prokurátor, ktorého vymenováva a odvoláva prezident SR na návrh NR SR</w:t>
      </w:r>
    </w:p>
    <w:p w:rsidR="00741DCE" w:rsidRPr="00741DCE" w:rsidRDefault="00741DCE" w:rsidP="00741DCE">
      <w:pPr>
        <w:numPr>
          <w:ilvl w:val="1"/>
          <w:numId w:val="2"/>
        </w:numPr>
        <w:tabs>
          <w:tab w:val="clear" w:pos="1080"/>
          <w:tab w:val="num" w:pos="709"/>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Predmet správneho práva - reguluje práve tú skupinu spoločenských vzťahov, ktoré vznikajú vo verejnej správe - medzi správnymi orgánmi a FO, PO a medzi správnymi orgánmi navzájom</w:t>
      </w:r>
    </w:p>
    <w:p w:rsidR="00741DCE" w:rsidRPr="00007CDC" w:rsidRDefault="00741DCE" w:rsidP="00741DCE">
      <w:pPr>
        <w:numPr>
          <w:ilvl w:val="1"/>
          <w:numId w:val="2"/>
        </w:numPr>
        <w:tabs>
          <w:tab w:val="clear" w:pos="1080"/>
          <w:tab w:val="num" w:pos="709"/>
          <w:tab w:val="left" w:pos="8222"/>
        </w:tabs>
        <w:spacing w:after="0" w:line="240" w:lineRule="auto"/>
        <w:ind w:left="0" w:firstLine="0"/>
        <w:jc w:val="both"/>
        <w:rPr>
          <w:rFonts w:ascii="Times New Roman" w:hAnsi="Times New Roman" w:cs="Times New Roman"/>
          <w:sz w:val="24"/>
          <w:szCs w:val="24"/>
        </w:rPr>
      </w:pPr>
      <w:r w:rsidRPr="00741DCE">
        <w:rPr>
          <w:rFonts w:ascii="Times New Roman" w:hAnsi="Times New Roman" w:cs="Times New Roman"/>
          <w:sz w:val="24"/>
          <w:szCs w:val="24"/>
        </w:rPr>
        <w:t>Správne konanie - aplikačný správny proces, v ktorom správne orgány uskutočňujú realizáciu práva vydávaním individuálnych správnych aktov. Je to všeobecný predpis, nazýva sa Správny poriadok</w:t>
      </w:r>
    </w:p>
    <w:p w:rsidR="00F15DA5" w:rsidRPr="00007CDC" w:rsidRDefault="00007CDC" w:rsidP="00007CDC">
      <w:pPr>
        <w:pStyle w:val="Odsekzoznamu"/>
        <w:numPr>
          <w:ilvl w:val="1"/>
          <w:numId w:val="2"/>
        </w:numPr>
        <w:tabs>
          <w:tab w:val="clear" w:pos="1080"/>
        </w:tabs>
        <w:ind w:left="0" w:firstLine="0"/>
        <w:rPr>
          <w:rFonts w:ascii="Times New Roman" w:hAnsi="Times New Roman" w:cs="Times New Roman"/>
        </w:rPr>
      </w:pPr>
      <w:r w:rsidRPr="00007CDC">
        <w:rPr>
          <w:rFonts w:ascii="Times New Roman" w:hAnsi="Times New Roman" w:cs="Times New Roman"/>
          <w:sz w:val="24"/>
          <w:szCs w:val="24"/>
        </w:rPr>
        <w:t>Hlavné orgány ES a EÚ (Európsky parlament, Európska rada, Rada EÚ, Európska komisia, Európsky  súdny dvor)</w:t>
      </w:r>
    </w:p>
    <w:p w:rsidR="00007CDC" w:rsidRPr="00007CDC" w:rsidRDefault="00007CDC" w:rsidP="00007CDC">
      <w:pPr>
        <w:pStyle w:val="Odsekzoznamu"/>
        <w:tabs>
          <w:tab w:val="left" w:pos="8222"/>
        </w:tabs>
        <w:spacing w:after="0" w:line="240" w:lineRule="auto"/>
        <w:ind w:left="0"/>
        <w:jc w:val="both"/>
        <w:rPr>
          <w:rFonts w:ascii="Times New Roman" w:hAnsi="Times New Roman" w:cs="Times New Roman"/>
          <w:sz w:val="24"/>
        </w:rPr>
      </w:pPr>
      <w:r>
        <w:rPr>
          <w:rFonts w:ascii="Times New Roman" w:hAnsi="Times New Roman" w:cs="Times New Roman"/>
          <w:sz w:val="24"/>
        </w:rPr>
        <w:lastRenderedPageBreak/>
        <w:t xml:space="preserve">66) </w:t>
      </w:r>
      <w:r w:rsidRPr="00007CDC">
        <w:rPr>
          <w:rFonts w:ascii="Times New Roman" w:hAnsi="Times New Roman" w:cs="Times New Roman"/>
          <w:sz w:val="24"/>
        </w:rPr>
        <w:t xml:space="preserve">Primárne právo ES a EÚ - </w:t>
      </w:r>
      <w:r w:rsidRPr="00007CDC">
        <w:rPr>
          <w:rFonts w:ascii="Times New Roman" w:hAnsi="Times New Roman" w:cs="Times New Roman"/>
          <w:sz w:val="24"/>
          <w:szCs w:val="24"/>
        </w:rPr>
        <w:t xml:space="preserve">akty členských štátov, ktoré založili ESUO, EHS a EURATOM sú prvotným prameňom pravidiel. Ide o akty suverénnych štátov ako subjektov medzinárodného práva, ktoré obmedzili svoju suverenitu dobrovoľne na základe medzinárodnej zmluvy. Zakladajúce zmluvy Európskych spoločenstiev sú teda svojou podstatou zmluvami medzinárodného práva verejného. Členské štáty preniesli výkon svojich zvrchovaných práv na Spoločenstvá prostredníctvom </w:t>
      </w:r>
      <w:r w:rsidRPr="00007CDC">
        <w:rPr>
          <w:rFonts w:ascii="Times New Roman" w:hAnsi="Times New Roman" w:cs="Times New Roman"/>
          <w:i/>
          <w:iCs/>
          <w:sz w:val="24"/>
          <w:szCs w:val="24"/>
        </w:rPr>
        <w:t>vnútroštátnych právnych ak</w:t>
      </w:r>
      <w:bookmarkStart w:id="0" w:name="_GoBack"/>
      <w:bookmarkEnd w:id="0"/>
      <w:r w:rsidRPr="00007CDC">
        <w:rPr>
          <w:rFonts w:ascii="Times New Roman" w:hAnsi="Times New Roman" w:cs="Times New Roman"/>
          <w:i/>
          <w:iCs/>
          <w:sz w:val="24"/>
          <w:szCs w:val="24"/>
        </w:rPr>
        <w:t>tov.</w:t>
      </w:r>
      <w:r w:rsidRPr="00007CDC">
        <w:rPr>
          <w:rFonts w:ascii="Times New Roman" w:hAnsi="Times New Roman" w:cs="Times New Roman"/>
          <w:sz w:val="24"/>
          <w:szCs w:val="24"/>
        </w:rPr>
        <w:t xml:space="preserve"> Umožnilo sa tak používanie európskeho právneho poriadku na ich území spoločne s vlastnými právnymi poriadkami a dokonca mu dali právo prednosti</w:t>
      </w:r>
    </w:p>
    <w:p w:rsidR="00007CDC" w:rsidRPr="00007CDC" w:rsidRDefault="00007CDC" w:rsidP="00007CDC">
      <w:pPr>
        <w:spacing w:after="0" w:line="240" w:lineRule="auto"/>
        <w:rPr>
          <w:rFonts w:ascii="Times New Roman" w:hAnsi="Times New Roman" w:cs="Times New Roman"/>
          <w:sz w:val="24"/>
          <w:szCs w:val="24"/>
        </w:rPr>
      </w:pPr>
      <w:r w:rsidRPr="00007CDC">
        <w:rPr>
          <w:rFonts w:ascii="Times New Roman" w:hAnsi="Times New Roman" w:cs="Times New Roman"/>
          <w:sz w:val="24"/>
          <w:szCs w:val="24"/>
        </w:rPr>
        <w:t xml:space="preserve">67) Sekundárne komunitárne právo (nariadenia, smernice, rozhodnutia, odporúčania a stanoviská) - </w:t>
      </w:r>
    </w:p>
    <w:p w:rsidR="00007CDC" w:rsidRPr="00007CDC" w:rsidRDefault="00007CDC" w:rsidP="00007CDC">
      <w:pPr>
        <w:rPr>
          <w:rFonts w:ascii="Times New Roman" w:hAnsi="Times New Roman" w:cs="Times New Roman"/>
          <w:sz w:val="24"/>
          <w:szCs w:val="24"/>
        </w:rPr>
      </w:pPr>
      <w:r w:rsidRPr="00007CDC">
        <w:rPr>
          <w:rFonts w:ascii="Times New Roman" w:hAnsi="Times New Roman" w:cs="Times New Roman"/>
          <w:sz w:val="24"/>
          <w:szCs w:val="24"/>
        </w:rPr>
        <w:t>základnými prameňmi:</w:t>
      </w:r>
    </w:p>
    <w:p w:rsidR="00007CDC" w:rsidRPr="00007CDC" w:rsidRDefault="00007CDC" w:rsidP="00007CDC">
      <w:pPr>
        <w:pStyle w:val="Zkladntext"/>
        <w:spacing w:after="0"/>
        <w:jc w:val="both"/>
        <w:rPr>
          <w:bCs/>
          <w:szCs w:val="24"/>
        </w:rPr>
      </w:pPr>
      <w:r w:rsidRPr="00007CDC">
        <w:rPr>
          <w:b/>
          <w:bCs/>
          <w:szCs w:val="24"/>
        </w:rPr>
        <w:t xml:space="preserve">nariadenia - </w:t>
      </w:r>
      <w:r w:rsidRPr="00007CDC">
        <w:rPr>
          <w:iCs/>
          <w:szCs w:val="24"/>
        </w:rPr>
        <w:t>záväzné pre všetky členské štáty  a sú priamo aplikovateľné v týchto štátoch, teda sú záväzné aj pre správne orgány a súdy týchto štátov.</w:t>
      </w:r>
      <w:r w:rsidRPr="00007CDC">
        <w:rPr>
          <w:szCs w:val="24"/>
        </w:rPr>
        <w:t xml:space="preserve"> Štáty nevedia zabrániť platnosti a aplikovateľnosti nariadenia vo svojom právnom poriadku</w:t>
      </w:r>
    </w:p>
    <w:p w:rsidR="00007CDC" w:rsidRPr="00007CDC" w:rsidRDefault="00007CDC" w:rsidP="00007CDC">
      <w:pPr>
        <w:pStyle w:val="Zkladntext"/>
        <w:tabs>
          <w:tab w:val="left" w:pos="142"/>
        </w:tabs>
        <w:spacing w:after="0"/>
        <w:jc w:val="both"/>
        <w:rPr>
          <w:szCs w:val="24"/>
        </w:rPr>
      </w:pPr>
      <w:r w:rsidRPr="00007CDC">
        <w:rPr>
          <w:b/>
          <w:bCs/>
          <w:szCs w:val="24"/>
        </w:rPr>
        <w:t xml:space="preserve">smernice - </w:t>
      </w:r>
      <w:r w:rsidRPr="00007CDC">
        <w:rPr>
          <w:szCs w:val="24"/>
        </w:rPr>
        <w:t>právny akt, ktorý vo vnútroštátnom práve nemá obdobu. Spoločenstvo vydáva smernice s určitým obsahom a členské štáty ju potom v stanovenej lehote prevádzajú do svojho právneho poriadku; sú od nariadenia odlišné v 2 smeroch: nemusia byť adresované všetkým členským štátom a sú záväzné čo do výsledku, ale členské štáty sa môžu rozhodnúť aké prostriedky na ich výkon použijú</w:t>
      </w:r>
    </w:p>
    <w:p w:rsidR="00007CDC" w:rsidRPr="00007CDC" w:rsidRDefault="00007CDC" w:rsidP="00007CDC">
      <w:pPr>
        <w:tabs>
          <w:tab w:val="left" w:pos="142"/>
        </w:tabs>
        <w:jc w:val="both"/>
        <w:rPr>
          <w:rFonts w:ascii="Times New Roman" w:hAnsi="Times New Roman" w:cs="Times New Roman"/>
          <w:sz w:val="24"/>
          <w:szCs w:val="24"/>
        </w:rPr>
      </w:pPr>
      <w:r w:rsidRPr="00007CDC">
        <w:rPr>
          <w:rFonts w:ascii="Times New Roman" w:hAnsi="Times New Roman" w:cs="Times New Roman"/>
          <w:b/>
          <w:bCs/>
          <w:sz w:val="24"/>
          <w:szCs w:val="24"/>
        </w:rPr>
        <w:t xml:space="preserve">rozhodnutia - </w:t>
      </w:r>
      <w:r w:rsidRPr="00007CDC">
        <w:rPr>
          <w:rFonts w:ascii="Times New Roman" w:hAnsi="Times New Roman" w:cs="Times New Roman"/>
          <w:sz w:val="24"/>
          <w:szCs w:val="24"/>
        </w:rPr>
        <w:t xml:space="preserve">nemajú </w:t>
      </w:r>
      <w:r w:rsidRPr="00007CDC">
        <w:rPr>
          <w:rFonts w:ascii="Times New Roman" w:hAnsi="Times New Roman" w:cs="Times New Roman"/>
          <w:i/>
          <w:iCs/>
          <w:sz w:val="24"/>
          <w:szCs w:val="24"/>
        </w:rPr>
        <w:t>všeobecnú záväznosť</w:t>
      </w:r>
      <w:r w:rsidRPr="00007CDC">
        <w:rPr>
          <w:rFonts w:ascii="Times New Roman" w:hAnsi="Times New Roman" w:cs="Times New Roman"/>
          <w:sz w:val="24"/>
          <w:szCs w:val="24"/>
        </w:rPr>
        <w:t xml:space="preserve"> – platia len pre vymedzený okruh adresátov; účinnosť nadobúdajú dňom uvedeným v rozhodnutí alebo ak taký deň nie je určený, tak 20. dňom po uverejnení v OJ</w:t>
      </w:r>
    </w:p>
    <w:p w:rsidR="00007CDC" w:rsidRPr="00007CDC" w:rsidRDefault="00007CDC" w:rsidP="00007CDC">
      <w:pPr>
        <w:tabs>
          <w:tab w:val="left" w:pos="142"/>
        </w:tabs>
        <w:jc w:val="both"/>
        <w:rPr>
          <w:rFonts w:ascii="Times New Roman" w:hAnsi="Times New Roman" w:cs="Times New Roman"/>
          <w:sz w:val="24"/>
          <w:szCs w:val="24"/>
        </w:rPr>
      </w:pPr>
      <w:r w:rsidRPr="00007CDC">
        <w:rPr>
          <w:rFonts w:ascii="Times New Roman" w:hAnsi="Times New Roman" w:cs="Times New Roman"/>
          <w:sz w:val="24"/>
          <w:szCs w:val="24"/>
        </w:rPr>
        <w:t>záväzné vo svojej úplnosti pre tých, komu sú adresované (napr. fyzické osoby, skupiny jednotlivcov, členské štáty) a týkajú sa jednotlivých prípadov.</w:t>
      </w:r>
    </w:p>
    <w:p w:rsidR="00007CDC" w:rsidRPr="00007CDC" w:rsidRDefault="00007CDC" w:rsidP="00007CDC">
      <w:pPr>
        <w:pStyle w:val="Zkladntext"/>
        <w:spacing w:after="0"/>
        <w:jc w:val="both"/>
        <w:rPr>
          <w:b/>
          <w:bCs/>
          <w:szCs w:val="24"/>
        </w:rPr>
      </w:pPr>
      <w:r w:rsidRPr="00007CDC">
        <w:rPr>
          <w:b/>
          <w:bCs/>
          <w:szCs w:val="24"/>
        </w:rPr>
        <w:t xml:space="preserve">odporúčania a stanoviská - </w:t>
      </w:r>
      <w:r w:rsidRPr="00007CDC">
        <w:rPr>
          <w:szCs w:val="24"/>
        </w:rPr>
        <w:t>je pozitívne posúdenie spôsobu konania, s</w:t>
      </w:r>
      <w:r w:rsidRPr="00007CDC">
        <w:rPr>
          <w:iCs/>
          <w:szCs w:val="24"/>
        </w:rPr>
        <w:t>tanovisko</w:t>
      </w:r>
      <w:r w:rsidRPr="00007CDC">
        <w:rPr>
          <w:szCs w:val="24"/>
        </w:rPr>
        <w:t xml:space="preserve"> je posúdenie právne relevantnej situácie prostredníctvom príslušného orgánu ES. Ich adresátmi sú</w:t>
      </w:r>
      <w:r w:rsidRPr="00007CDC">
        <w:rPr>
          <w:iCs/>
          <w:szCs w:val="24"/>
        </w:rPr>
        <w:t xml:space="preserve"> členské štáty</w:t>
      </w:r>
    </w:p>
    <w:p w:rsidR="00007CDC" w:rsidRPr="00007CDC" w:rsidRDefault="00007CDC" w:rsidP="00007CDC">
      <w:pPr>
        <w:pStyle w:val="Zkladntext"/>
        <w:spacing w:after="0"/>
        <w:jc w:val="both"/>
        <w:rPr>
          <w:b/>
          <w:bCs/>
          <w:szCs w:val="24"/>
        </w:rPr>
      </w:pPr>
      <w:r w:rsidRPr="00007CDC">
        <w:rPr>
          <w:szCs w:val="24"/>
        </w:rPr>
        <w:t>atypické právne akty sekundárneho práva</w:t>
      </w:r>
    </w:p>
    <w:p w:rsidR="00007CDC" w:rsidRPr="00007CDC" w:rsidRDefault="00007CDC" w:rsidP="00007CDC">
      <w:pPr>
        <w:rPr>
          <w:rFonts w:ascii="Times New Roman" w:hAnsi="Times New Roman" w:cs="Times New Roman"/>
        </w:rPr>
      </w:pPr>
    </w:p>
    <w:sectPr w:rsidR="00007CDC" w:rsidRPr="00007CDC" w:rsidSect="005151CE">
      <w:pgSz w:w="11906" w:h="16838"/>
      <w:pgMar w:top="709" w:right="849"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D6B0E"/>
    <w:multiLevelType w:val="hybridMultilevel"/>
    <w:tmpl w:val="2CA6634A"/>
    <w:lvl w:ilvl="0" w:tplc="3B50EE94">
      <w:start w:val="47"/>
      <w:numFmt w:val="decimal"/>
      <w:lvlText w:val="%1)"/>
      <w:lvlJc w:val="left"/>
      <w:pPr>
        <w:tabs>
          <w:tab w:val="num" w:pos="360"/>
        </w:tabs>
        <w:ind w:left="360" w:hanging="360"/>
      </w:pPr>
      <w:rPr>
        <w:rFonts w:hint="default"/>
        <w:b w:val="0"/>
        <w:sz w:val="24"/>
        <w:szCs w:val="24"/>
      </w:rPr>
    </w:lvl>
    <w:lvl w:ilvl="1" w:tplc="ABE635A6">
      <w:start w:val="53"/>
      <w:numFmt w:val="decimal"/>
      <w:lvlText w:val="%2)"/>
      <w:lvlJc w:val="left"/>
      <w:pPr>
        <w:tabs>
          <w:tab w:val="num" w:pos="1080"/>
        </w:tabs>
        <w:ind w:left="1080" w:hanging="360"/>
      </w:pPr>
      <w:rPr>
        <w:rFonts w:hint="default"/>
        <w:b w:val="0"/>
        <w:sz w:val="24"/>
        <w:szCs w:val="24"/>
      </w:rPr>
    </w:lvl>
    <w:lvl w:ilvl="2" w:tplc="041B001B" w:tentative="1">
      <w:start w:val="1"/>
      <w:numFmt w:val="lowerRoman"/>
      <w:lvlText w:val="%3."/>
      <w:lvlJc w:val="right"/>
      <w:pPr>
        <w:tabs>
          <w:tab w:val="num" w:pos="1800"/>
        </w:tabs>
        <w:ind w:left="1800" w:hanging="180"/>
      </w:pPr>
    </w:lvl>
    <w:lvl w:ilvl="3" w:tplc="041B000F" w:tentative="1">
      <w:start w:val="1"/>
      <w:numFmt w:val="decimal"/>
      <w:lvlText w:val="%4."/>
      <w:lvlJc w:val="left"/>
      <w:pPr>
        <w:tabs>
          <w:tab w:val="num" w:pos="2520"/>
        </w:tabs>
        <w:ind w:left="2520" w:hanging="360"/>
      </w:pPr>
    </w:lvl>
    <w:lvl w:ilvl="4" w:tplc="041B0019" w:tentative="1">
      <w:start w:val="1"/>
      <w:numFmt w:val="lowerLetter"/>
      <w:lvlText w:val="%5."/>
      <w:lvlJc w:val="left"/>
      <w:pPr>
        <w:tabs>
          <w:tab w:val="num" w:pos="3240"/>
        </w:tabs>
        <w:ind w:left="3240" w:hanging="360"/>
      </w:pPr>
    </w:lvl>
    <w:lvl w:ilvl="5" w:tplc="041B001B" w:tentative="1">
      <w:start w:val="1"/>
      <w:numFmt w:val="lowerRoman"/>
      <w:lvlText w:val="%6."/>
      <w:lvlJc w:val="right"/>
      <w:pPr>
        <w:tabs>
          <w:tab w:val="num" w:pos="3960"/>
        </w:tabs>
        <w:ind w:left="3960" w:hanging="180"/>
      </w:pPr>
    </w:lvl>
    <w:lvl w:ilvl="6" w:tplc="041B000F" w:tentative="1">
      <w:start w:val="1"/>
      <w:numFmt w:val="decimal"/>
      <w:lvlText w:val="%7."/>
      <w:lvlJc w:val="left"/>
      <w:pPr>
        <w:tabs>
          <w:tab w:val="num" w:pos="4680"/>
        </w:tabs>
        <w:ind w:left="4680" w:hanging="360"/>
      </w:pPr>
    </w:lvl>
    <w:lvl w:ilvl="7" w:tplc="041B0019" w:tentative="1">
      <w:start w:val="1"/>
      <w:numFmt w:val="lowerLetter"/>
      <w:lvlText w:val="%8."/>
      <w:lvlJc w:val="left"/>
      <w:pPr>
        <w:tabs>
          <w:tab w:val="num" w:pos="5400"/>
        </w:tabs>
        <w:ind w:left="5400" w:hanging="360"/>
      </w:pPr>
    </w:lvl>
    <w:lvl w:ilvl="8" w:tplc="041B001B" w:tentative="1">
      <w:start w:val="1"/>
      <w:numFmt w:val="lowerRoman"/>
      <w:lvlText w:val="%9."/>
      <w:lvlJc w:val="right"/>
      <w:pPr>
        <w:tabs>
          <w:tab w:val="num" w:pos="6120"/>
        </w:tabs>
        <w:ind w:left="6120" w:hanging="180"/>
      </w:pPr>
    </w:lvl>
  </w:abstractNum>
  <w:abstractNum w:abstractNumId="1">
    <w:nsid w:val="488421CA"/>
    <w:multiLevelType w:val="hybridMultilevel"/>
    <w:tmpl w:val="2CA6634A"/>
    <w:lvl w:ilvl="0" w:tplc="3B50EE94">
      <w:start w:val="47"/>
      <w:numFmt w:val="decimal"/>
      <w:lvlText w:val="%1)"/>
      <w:lvlJc w:val="left"/>
      <w:pPr>
        <w:tabs>
          <w:tab w:val="num" w:pos="360"/>
        </w:tabs>
        <w:ind w:left="360" w:hanging="360"/>
      </w:pPr>
      <w:rPr>
        <w:rFonts w:hint="default"/>
        <w:b w:val="0"/>
        <w:sz w:val="24"/>
        <w:szCs w:val="24"/>
      </w:rPr>
    </w:lvl>
    <w:lvl w:ilvl="1" w:tplc="ABE635A6">
      <w:start w:val="53"/>
      <w:numFmt w:val="decimal"/>
      <w:lvlText w:val="%2)"/>
      <w:lvlJc w:val="left"/>
      <w:pPr>
        <w:tabs>
          <w:tab w:val="num" w:pos="1080"/>
        </w:tabs>
        <w:ind w:left="1080" w:hanging="360"/>
      </w:pPr>
      <w:rPr>
        <w:rFonts w:hint="default"/>
        <w:b w:val="0"/>
        <w:sz w:val="24"/>
        <w:szCs w:val="24"/>
      </w:rPr>
    </w:lvl>
    <w:lvl w:ilvl="2" w:tplc="041B001B" w:tentative="1">
      <w:start w:val="1"/>
      <w:numFmt w:val="lowerRoman"/>
      <w:lvlText w:val="%3."/>
      <w:lvlJc w:val="right"/>
      <w:pPr>
        <w:tabs>
          <w:tab w:val="num" w:pos="1800"/>
        </w:tabs>
        <w:ind w:left="1800" w:hanging="180"/>
      </w:pPr>
    </w:lvl>
    <w:lvl w:ilvl="3" w:tplc="041B000F" w:tentative="1">
      <w:start w:val="1"/>
      <w:numFmt w:val="decimal"/>
      <w:lvlText w:val="%4."/>
      <w:lvlJc w:val="left"/>
      <w:pPr>
        <w:tabs>
          <w:tab w:val="num" w:pos="2520"/>
        </w:tabs>
        <w:ind w:left="2520" w:hanging="360"/>
      </w:pPr>
    </w:lvl>
    <w:lvl w:ilvl="4" w:tplc="041B0019" w:tentative="1">
      <w:start w:val="1"/>
      <w:numFmt w:val="lowerLetter"/>
      <w:lvlText w:val="%5."/>
      <w:lvlJc w:val="left"/>
      <w:pPr>
        <w:tabs>
          <w:tab w:val="num" w:pos="3240"/>
        </w:tabs>
        <w:ind w:left="3240" w:hanging="360"/>
      </w:pPr>
    </w:lvl>
    <w:lvl w:ilvl="5" w:tplc="041B001B" w:tentative="1">
      <w:start w:val="1"/>
      <w:numFmt w:val="lowerRoman"/>
      <w:lvlText w:val="%6."/>
      <w:lvlJc w:val="right"/>
      <w:pPr>
        <w:tabs>
          <w:tab w:val="num" w:pos="3960"/>
        </w:tabs>
        <w:ind w:left="3960" w:hanging="180"/>
      </w:pPr>
    </w:lvl>
    <w:lvl w:ilvl="6" w:tplc="041B000F" w:tentative="1">
      <w:start w:val="1"/>
      <w:numFmt w:val="decimal"/>
      <w:lvlText w:val="%7."/>
      <w:lvlJc w:val="left"/>
      <w:pPr>
        <w:tabs>
          <w:tab w:val="num" w:pos="4680"/>
        </w:tabs>
        <w:ind w:left="4680" w:hanging="360"/>
      </w:pPr>
    </w:lvl>
    <w:lvl w:ilvl="7" w:tplc="041B0019" w:tentative="1">
      <w:start w:val="1"/>
      <w:numFmt w:val="lowerLetter"/>
      <w:lvlText w:val="%8."/>
      <w:lvlJc w:val="left"/>
      <w:pPr>
        <w:tabs>
          <w:tab w:val="num" w:pos="5400"/>
        </w:tabs>
        <w:ind w:left="5400" w:hanging="360"/>
      </w:pPr>
    </w:lvl>
    <w:lvl w:ilvl="8" w:tplc="041B001B" w:tentative="1">
      <w:start w:val="1"/>
      <w:numFmt w:val="lowerRoman"/>
      <w:lvlText w:val="%9."/>
      <w:lvlJc w:val="right"/>
      <w:pPr>
        <w:tabs>
          <w:tab w:val="num" w:pos="6120"/>
        </w:tabs>
        <w:ind w:left="6120" w:hanging="180"/>
      </w:pPr>
    </w:lvl>
  </w:abstractNum>
  <w:abstractNum w:abstractNumId="2">
    <w:nsid w:val="54E0664F"/>
    <w:multiLevelType w:val="hybridMultilevel"/>
    <w:tmpl w:val="F32C8F8A"/>
    <w:lvl w:ilvl="0" w:tplc="041B000F">
      <w:start w:val="1"/>
      <w:numFmt w:val="decimal"/>
      <w:lvlText w:val="%1)"/>
      <w:lvlJc w:val="left"/>
      <w:pPr>
        <w:tabs>
          <w:tab w:val="num" w:pos="720"/>
        </w:tabs>
        <w:ind w:left="720" w:hanging="360"/>
      </w:pPr>
      <w:rPr>
        <w:b w:val="0"/>
        <w:sz w:val="24"/>
        <w:szCs w:val="24"/>
      </w:rPr>
    </w:lvl>
    <w:lvl w:ilvl="1" w:tplc="041B0019">
      <w:start w:val="46"/>
      <w:numFmt w:val="decimal"/>
      <w:lvlText w:val="%2)"/>
      <w:lvlJc w:val="left"/>
      <w:pPr>
        <w:tabs>
          <w:tab w:val="num" w:pos="1440"/>
        </w:tabs>
        <w:ind w:left="1440" w:hanging="360"/>
      </w:pPr>
      <w:rPr>
        <w:rFonts w:hint="default"/>
        <w:b w:val="0"/>
        <w:sz w:val="24"/>
        <w:szCs w:val="24"/>
      </w:r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3">
    <w:nsid w:val="62D55709"/>
    <w:multiLevelType w:val="hybridMultilevel"/>
    <w:tmpl w:val="2CA6634A"/>
    <w:lvl w:ilvl="0" w:tplc="3B50EE94">
      <w:start w:val="47"/>
      <w:numFmt w:val="decimal"/>
      <w:lvlText w:val="%1)"/>
      <w:lvlJc w:val="left"/>
      <w:pPr>
        <w:tabs>
          <w:tab w:val="num" w:pos="360"/>
        </w:tabs>
        <w:ind w:left="360" w:hanging="360"/>
      </w:pPr>
      <w:rPr>
        <w:rFonts w:hint="default"/>
        <w:b w:val="0"/>
        <w:sz w:val="24"/>
        <w:szCs w:val="24"/>
      </w:rPr>
    </w:lvl>
    <w:lvl w:ilvl="1" w:tplc="ABE635A6">
      <w:start w:val="53"/>
      <w:numFmt w:val="decimal"/>
      <w:lvlText w:val="%2)"/>
      <w:lvlJc w:val="left"/>
      <w:pPr>
        <w:tabs>
          <w:tab w:val="num" w:pos="1080"/>
        </w:tabs>
        <w:ind w:left="1080" w:hanging="360"/>
      </w:pPr>
      <w:rPr>
        <w:rFonts w:hint="default"/>
        <w:b w:val="0"/>
        <w:sz w:val="24"/>
        <w:szCs w:val="24"/>
      </w:rPr>
    </w:lvl>
    <w:lvl w:ilvl="2" w:tplc="041B001B" w:tentative="1">
      <w:start w:val="1"/>
      <w:numFmt w:val="lowerRoman"/>
      <w:lvlText w:val="%3."/>
      <w:lvlJc w:val="right"/>
      <w:pPr>
        <w:tabs>
          <w:tab w:val="num" w:pos="1800"/>
        </w:tabs>
        <w:ind w:left="1800" w:hanging="180"/>
      </w:pPr>
    </w:lvl>
    <w:lvl w:ilvl="3" w:tplc="041B000F" w:tentative="1">
      <w:start w:val="1"/>
      <w:numFmt w:val="decimal"/>
      <w:lvlText w:val="%4."/>
      <w:lvlJc w:val="left"/>
      <w:pPr>
        <w:tabs>
          <w:tab w:val="num" w:pos="2520"/>
        </w:tabs>
        <w:ind w:left="2520" w:hanging="360"/>
      </w:pPr>
    </w:lvl>
    <w:lvl w:ilvl="4" w:tplc="041B0019" w:tentative="1">
      <w:start w:val="1"/>
      <w:numFmt w:val="lowerLetter"/>
      <w:lvlText w:val="%5."/>
      <w:lvlJc w:val="left"/>
      <w:pPr>
        <w:tabs>
          <w:tab w:val="num" w:pos="3240"/>
        </w:tabs>
        <w:ind w:left="3240" w:hanging="360"/>
      </w:pPr>
    </w:lvl>
    <w:lvl w:ilvl="5" w:tplc="041B001B" w:tentative="1">
      <w:start w:val="1"/>
      <w:numFmt w:val="lowerRoman"/>
      <w:lvlText w:val="%6."/>
      <w:lvlJc w:val="right"/>
      <w:pPr>
        <w:tabs>
          <w:tab w:val="num" w:pos="3960"/>
        </w:tabs>
        <w:ind w:left="3960" w:hanging="180"/>
      </w:pPr>
    </w:lvl>
    <w:lvl w:ilvl="6" w:tplc="041B000F" w:tentative="1">
      <w:start w:val="1"/>
      <w:numFmt w:val="decimal"/>
      <w:lvlText w:val="%7."/>
      <w:lvlJc w:val="left"/>
      <w:pPr>
        <w:tabs>
          <w:tab w:val="num" w:pos="4680"/>
        </w:tabs>
        <w:ind w:left="4680" w:hanging="360"/>
      </w:pPr>
    </w:lvl>
    <w:lvl w:ilvl="7" w:tplc="041B0019" w:tentative="1">
      <w:start w:val="1"/>
      <w:numFmt w:val="lowerLetter"/>
      <w:lvlText w:val="%8."/>
      <w:lvlJc w:val="left"/>
      <w:pPr>
        <w:tabs>
          <w:tab w:val="num" w:pos="5400"/>
        </w:tabs>
        <w:ind w:left="5400" w:hanging="360"/>
      </w:pPr>
    </w:lvl>
    <w:lvl w:ilvl="8" w:tplc="041B001B" w:tentative="1">
      <w:start w:val="1"/>
      <w:numFmt w:val="lowerRoman"/>
      <w:lvlText w:val="%9."/>
      <w:lvlJc w:val="right"/>
      <w:pPr>
        <w:tabs>
          <w:tab w:val="num" w:pos="6120"/>
        </w:tabs>
        <w:ind w:left="612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useFELayout/>
    <w:compatSetting w:name="compatibilityMode" w:uri="http://schemas.microsoft.com/office/word" w:val="12"/>
  </w:compat>
  <w:rsids>
    <w:rsidRoot w:val="00741DCE"/>
    <w:rsid w:val="00007CDC"/>
    <w:rsid w:val="00270269"/>
    <w:rsid w:val="005151CE"/>
    <w:rsid w:val="0066035F"/>
    <w:rsid w:val="00741DCE"/>
    <w:rsid w:val="00B52FE2"/>
    <w:rsid w:val="00CB2BE0"/>
    <w:rsid w:val="00F15DA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66035F"/>
  </w:style>
  <w:style w:type="paragraph" w:styleId="Nadpis1">
    <w:name w:val="heading 1"/>
    <w:basedOn w:val="Normlny"/>
    <w:next w:val="Normlny"/>
    <w:link w:val="Nadpis1Char"/>
    <w:qFormat/>
    <w:rsid w:val="00741DCE"/>
    <w:pPr>
      <w:keepNext/>
      <w:spacing w:after="0" w:line="240" w:lineRule="auto"/>
      <w:outlineLvl w:val="0"/>
    </w:pPr>
    <w:rPr>
      <w:rFonts w:ascii="Times New Roman" w:eastAsia="Times New Roman" w:hAnsi="Times New Roman" w:cs="Times New Roman"/>
      <w:sz w:val="24"/>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741DCE"/>
    <w:rPr>
      <w:rFonts w:ascii="Times New Roman" w:eastAsia="Times New Roman" w:hAnsi="Times New Roman" w:cs="Times New Roman"/>
      <w:sz w:val="24"/>
      <w:szCs w:val="20"/>
    </w:rPr>
  </w:style>
  <w:style w:type="paragraph" w:styleId="Normlnywebov">
    <w:name w:val="Normal (Web)"/>
    <w:basedOn w:val="Normlny"/>
    <w:rsid w:val="00741DCE"/>
    <w:pPr>
      <w:spacing w:before="100" w:beforeAutospacing="1" w:after="100" w:afterAutospacing="1" w:line="240" w:lineRule="auto"/>
    </w:pPr>
    <w:rPr>
      <w:rFonts w:ascii="Times New Roman" w:eastAsia="Times New Roman" w:hAnsi="Times New Roman" w:cs="Times New Roman"/>
      <w:sz w:val="24"/>
      <w:szCs w:val="24"/>
    </w:rPr>
  </w:style>
  <w:style w:type="character" w:styleId="Hypertextovprepojenie">
    <w:name w:val="Hyperlink"/>
    <w:basedOn w:val="Predvolenpsmoodseku"/>
    <w:rsid w:val="00741DCE"/>
    <w:rPr>
      <w:color w:val="0000FF"/>
      <w:u w:val="single"/>
    </w:rPr>
  </w:style>
  <w:style w:type="paragraph" w:styleId="Odsekzoznamu">
    <w:name w:val="List Paragraph"/>
    <w:basedOn w:val="Normlny"/>
    <w:uiPriority w:val="34"/>
    <w:qFormat/>
    <w:rsid w:val="00007CDC"/>
    <w:pPr>
      <w:ind w:left="720"/>
      <w:contextualSpacing/>
    </w:pPr>
  </w:style>
  <w:style w:type="paragraph" w:styleId="Zkladntext">
    <w:name w:val="Body Text"/>
    <w:basedOn w:val="Normlny"/>
    <w:link w:val="ZkladntextChar"/>
    <w:rsid w:val="00007CDC"/>
    <w:pPr>
      <w:spacing w:after="120" w:line="240" w:lineRule="auto"/>
    </w:pPr>
    <w:rPr>
      <w:rFonts w:ascii="Times New Roman" w:eastAsia="Times New Roman" w:hAnsi="Times New Roman" w:cs="Times New Roman"/>
      <w:sz w:val="24"/>
      <w:szCs w:val="20"/>
    </w:rPr>
  </w:style>
  <w:style w:type="character" w:customStyle="1" w:styleId="ZkladntextChar">
    <w:name w:val="Základný text Char"/>
    <w:basedOn w:val="Predvolenpsmoodseku"/>
    <w:link w:val="Zkladntext"/>
    <w:rsid w:val="00007CDC"/>
    <w:rPr>
      <w:rFonts w:ascii="Times New Roman" w:eastAsia="Times New Roman" w:hAnsi="Times New Roman"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k.wikipedia.org/w/index.php?title=Pr%C3%A1vnych_noriem&amp;action=edi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310</TotalTime>
  <Pages>1</Pages>
  <Words>3563</Words>
  <Characters>20314</Characters>
  <Application>Microsoft Office Word</Application>
  <DocSecurity>0</DocSecurity>
  <Lines>169</Lines>
  <Paragraphs>47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23830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dc:creator>
  <cp:keywords/>
  <dc:description/>
  <cp:lastModifiedBy>Kedo2 NetBook</cp:lastModifiedBy>
  <cp:revision>7</cp:revision>
  <dcterms:created xsi:type="dcterms:W3CDTF">2011-12-05T12:27:00Z</dcterms:created>
  <dcterms:modified xsi:type="dcterms:W3CDTF">2011-12-21T13:03:00Z</dcterms:modified>
</cp:coreProperties>
</file>